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USPTO is dealing with application backlog now – that means more </w:t>
      </w:r>
      <w:r>
        <w:rPr>
          <w:b/>
          <w:i w:val="0"/>
          <w:smallCaps w:val="0"/>
          <w:strike w:val="0"/>
          <w:sz w:val="26"/>
          <w:u w:val="single"/>
        </w:rPr>
        <w:t>lawsuits</w:t>
      </w:r>
      <w:r>
        <w:rPr>
          <w:b/>
          <w:i w:val="0"/>
          <w:smallCaps w:val="0"/>
          <w:strike w:val="0"/>
          <w:sz w:val="26"/>
          <w:u w:val="none"/>
        </w:rPr>
        <w:t xml:space="preserve"> hit the courts and </w:t>
      </w:r>
      <w:r>
        <w:rPr>
          <w:b/>
          <w:i w:val="0"/>
          <w:smallCaps w:val="0"/>
          <w:strike w:val="0"/>
          <w:sz w:val="26"/>
          <w:u w:val="single"/>
        </w:rPr>
        <w:t>ruins</w:t>
      </w:r>
      <w:r>
        <w:rPr>
          <w:b/>
          <w:i w:val="0"/>
          <w:smallCaps w:val="0"/>
          <w:strike w:val="0"/>
          <w:sz w:val="26"/>
          <w:u w:val="none"/>
        </w:rPr>
        <w:t xml:space="preserve"> judicial efficiency.</w:t>
      </w:r>
    </w:p>
    <w:p>
      <w:pPr>
        <w:spacing w:after="80"/>
      </w:pPr>
      <w:r>
        <w:rPr>
          <w:b/>
          <w:i w:val="0"/>
          <w:smallCaps w:val="0"/>
          <w:strike w:val="0"/>
          <w:sz w:val="26"/>
          <w:u w:val="none"/>
        </w:rPr>
        <w:t>OASBA 24</w:t>
      </w:r>
      <w:r>
        <w:rPr>
          <w:b/>
          <w:i w:val="0"/>
          <w:smallCaps w:val="0"/>
          <w:strike w:val="0"/>
          <w:sz w:val="26"/>
          <w:u w:val="none"/>
        </w:rPr>
        <w:t xml:space="preserve"> </w:t>
      </w:r>
      <w:r>
        <w:rPr>
          <w:b w:val="0"/>
          <w:i w:val="0"/>
          <w:smallCaps w:val="0"/>
          <w:strike w:val="0"/>
          <w:sz w:val="16"/>
          <w:u w:val="none"/>
        </w:rPr>
        <w:t>– Office Of Advocacy of the Small Business Administration (Created by Congress in 1976, the Office of Advocacy of the U.S. Small Business Administration (SBA) is an independent voice for small business within the federal government), 1-30-2024, "Roundtable Recap – USPTO Trademark Pendency Rates," SBA's Office of Advocacy, https://advocacy.sba.gov/2024/01/30/roundtable-recap-uspto-trademark-pendency-rates/</w:t>
      </w:r>
    </w:p>
    <w:p>
      <w:pPr>
        <w:spacing w:after="60"/>
      </w:pPr>
      <w:r>
        <w:rPr>
          <w:b w:val="0"/>
          <w:i w:val="0"/>
          <w:smallCaps w:val="0"/>
          <w:strike w:val="0"/>
          <w:sz w:val="16"/>
          <w:u w:val="none"/>
        </w:rPr>
        <w:t xml:space="preserve">On January 15, 2024, </w:t>
      </w:r>
      <w:r>
        <w:rPr>
          <w:b w:val="0"/>
          <w:i w:val="0"/>
          <w:smallCaps w:val="0"/>
          <w:strike w:val="0"/>
          <w:u w:val="single"/>
        </w:rPr>
        <w:t xml:space="preserve">the Office of Advocacy held a roundtable with </w:t>
      </w:r>
      <w:r>
        <w:rPr>
          <w:b w:val="0"/>
          <w:i w:val="0"/>
          <w:smallCaps w:val="0"/>
          <w:strike w:val="0"/>
          <w:highlight w:val="cyan"/>
          <w:u w:val="single"/>
        </w:rPr>
        <w:t>the</w:t>
      </w:r>
      <w:r>
        <w:rPr>
          <w:b w:val="0"/>
          <w:i w:val="0"/>
          <w:smallCaps w:val="0"/>
          <w:strike w:val="0"/>
          <w:u w:val="single"/>
        </w:rPr>
        <w:t xml:space="preserve"> U.S. Patent</w:t>
      </w:r>
      <w:r>
        <w:rPr>
          <w:b w:val="0"/>
          <w:i w:val="0"/>
          <w:smallCaps w:val="0"/>
          <w:strike w:val="0"/>
          <w:u w:val="single"/>
        </w:rPr>
        <w:t xml:space="preserve"> and </w:t>
      </w:r>
      <w:r>
        <w:rPr>
          <w:b w:val="0"/>
          <w:i w:val="0"/>
          <w:smallCaps w:val="0"/>
          <w:strike w:val="0"/>
          <w:u w:val="single"/>
        </w:rPr>
        <w:t>T</w:t>
      </w:r>
      <w:r>
        <w:rPr>
          <w:b w:val="0"/>
          <w:i w:val="0"/>
          <w:smallCaps w:val="0"/>
          <w:strike w:val="0"/>
          <w:u w:val="single"/>
        </w:rPr>
        <w:t xml:space="preserve">rademark </w:t>
      </w:r>
      <w:r>
        <w:rPr>
          <w:b w:val="0"/>
          <w:i w:val="0"/>
          <w:smallCaps w:val="0"/>
          <w:strike w:val="0"/>
          <w:u w:val="single"/>
        </w:rPr>
        <w:t>O</w:t>
      </w:r>
      <w:r>
        <w:rPr>
          <w:b w:val="0"/>
          <w:i w:val="0"/>
          <w:smallCaps w:val="0"/>
          <w:strike w:val="0"/>
          <w:u w:val="single"/>
        </w:rPr>
        <w:t>ffice (</w:t>
      </w:r>
      <w:r>
        <w:rPr>
          <w:b w:val="0"/>
          <w:i w:val="0"/>
          <w:smallCaps w:val="0"/>
          <w:strike w:val="0"/>
          <w:highlight w:val="cyan"/>
          <w:u w:val="single"/>
        </w:rPr>
        <w:t>USPTO</w:t>
      </w:r>
      <w:r>
        <w:rPr>
          <w:b w:val="0"/>
          <w:i w:val="0"/>
          <w:smallCaps w:val="0"/>
          <w:strike w:val="0"/>
          <w:u w:val="single"/>
        </w:rPr>
        <w:t xml:space="preserve">) to </w:t>
      </w:r>
      <w:r>
        <w:rPr>
          <w:b w:val="0"/>
          <w:i w:val="0"/>
          <w:smallCaps w:val="0"/>
          <w:strike w:val="0"/>
          <w:highlight w:val="cyan"/>
          <w:u w:val="single"/>
        </w:rPr>
        <w:t>discuss pendency rates for trademark applications</w:t>
      </w:r>
      <w:r>
        <w:rPr>
          <w:b w:val="0"/>
          <w:i w:val="0"/>
          <w:smallCaps w:val="0"/>
          <w:strike w:val="0"/>
          <w:u w:val="single"/>
        </w:rPr>
        <w:t xml:space="preserve">. Pendency rates </w:t>
      </w:r>
      <w:r>
        <w:rPr>
          <w:b w:val="0"/>
          <w:i w:val="0"/>
          <w:smallCaps w:val="0"/>
          <w:strike w:val="0"/>
          <w:highlight w:val="cyan"/>
          <w:u w:val="single"/>
        </w:rPr>
        <w:t>represent how quickly</w:t>
      </w:r>
      <w:r>
        <w:rPr>
          <w:b w:val="0"/>
          <w:i w:val="0"/>
          <w:smallCaps w:val="0"/>
          <w:strike w:val="0"/>
          <w:u w:val="single"/>
        </w:rPr>
        <w:t xml:space="preserve"> the Trademark Office </w:t>
      </w:r>
      <w:r>
        <w:rPr>
          <w:b w:val="0"/>
          <w:i w:val="0"/>
          <w:smallCaps w:val="0"/>
          <w:strike w:val="0"/>
          <w:highlight w:val="cyan"/>
          <w:u w:val="single"/>
        </w:rPr>
        <w:t>can issue or deny a</w:t>
      </w:r>
      <w:r>
        <w:rPr>
          <w:b w:val="0"/>
          <w:i w:val="0"/>
          <w:smallCaps w:val="0"/>
          <w:strike w:val="0"/>
          <w:u w:val="single"/>
        </w:rPr>
        <w:t xml:space="preserve"> trademark </w:t>
      </w:r>
      <w:r>
        <w:rPr>
          <w:b w:val="0"/>
          <w:i w:val="0"/>
          <w:smallCaps w:val="0"/>
          <w:strike w:val="0"/>
          <w:highlight w:val="cyan"/>
          <w:u w:val="single"/>
        </w:rPr>
        <w:t>application</w:t>
      </w:r>
      <w:r>
        <w:rPr>
          <w:b w:val="0"/>
          <w:i w:val="0"/>
          <w:smallCaps w:val="0"/>
          <w:strike w:val="0"/>
          <w:sz w:val="16"/>
          <w:u w:val="none"/>
        </w:rPr>
        <w:t>. The Commissioner of the Trademark Office, David Gooder, and Deputy Commissioner of Trademark Operations, Dan Vavonese, joined the roundtable to discuss steps aimed at reducing the backlog in issuing trademarks.</w:t>
      </w:r>
    </w:p>
    <w:p>
      <w:pPr>
        <w:spacing w:after="60"/>
      </w:pPr>
      <w:r>
        <w:rPr>
          <w:b w:val="0"/>
          <w:i w:val="0"/>
          <w:smallCaps w:val="0"/>
          <w:strike w:val="0"/>
          <w:sz w:val="16"/>
          <w:u w:val="none"/>
        </w:rPr>
        <w:t xml:space="preserve">The roundtable focused on </w:t>
      </w:r>
      <w:r>
        <w:rPr>
          <w:b w:val="0"/>
          <w:i w:val="0"/>
          <w:smallCaps w:val="0"/>
          <w:strike w:val="0"/>
          <w:u w:val="single"/>
        </w:rPr>
        <w:t xml:space="preserve">the </w:t>
      </w:r>
      <w:r>
        <w:rPr>
          <w:b w:val="0"/>
          <w:i w:val="0"/>
          <w:smallCaps w:val="0"/>
          <w:strike w:val="0"/>
          <w:u w:val="single"/>
        </w:rPr>
        <w:t>rise in</w:t>
      </w:r>
      <w:r>
        <w:rPr>
          <w:b w:val="0"/>
          <w:i w:val="0"/>
          <w:smallCaps w:val="0"/>
          <w:strike w:val="0"/>
          <w:u w:val="single"/>
        </w:rPr>
        <w:t xml:space="preserve"> trademark application </w:t>
      </w:r>
      <w:r>
        <w:rPr>
          <w:b w:val="0"/>
          <w:i w:val="0"/>
          <w:smallCaps w:val="0"/>
          <w:strike w:val="0"/>
          <w:u w:val="single"/>
        </w:rPr>
        <w:t>pendency</w:t>
      </w:r>
      <w:r>
        <w:rPr>
          <w:b w:val="0"/>
          <w:i w:val="0"/>
          <w:smallCaps w:val="0"/>
          <w:strike w:val="0"/>
          <w:u w:val="single"/>
        </w:rPr>
        <w:t xml:space="preserve">, </w:t>
      </w:r>
      <w:r>
        <w:rPr>
          <w:b w:val="0"/>
          <w:i w:val="0"/>
          <w:smallCaps w:val="0"/>
          <w:strike w:val="0"/>
          <w:u w:val="single"/>
        </w:rPr>
        <w:t>and</w:t>
      </w:r>
      <w:r>
        <w:rPr>
          <w:b w:val="0"/>
          <w:i w:val="0"/>
          <w:smallCaps w:val="0"/>
          <w:strike w:val="0"/>
          <w:u w:val="single"/>
        </w:rPr>
        <w:t xml:space="preserve"> a surge in received applications has led to the </w:t>
      </w:r>
      <w:r>
        <w:rPr>
          <w:b w:val="0"/>
          <w:i w:val="0"/>
          <w:smallCaps w:val="0"/>
          <w:strike w:val="0"/>
          <w:highlight w:val="cyan"/>
          <w:u w:val="single"/>
        </w:rPr>
        <w:t>average application review</w:t>
      </w:r>
      <w:r>
        <w:rPr>
          <w:b w:val="0"/>
          <w:i w:val="0"/>
          <w:smallCaps w:val="0"/>
          <w:strike w:val="0"/>
          <w:u w:val="single"/>
        </w:rPr>
        <w:t xml:space="preserve"> to go from under 4 months to </w:t>
      </w:r>
      <w:r>
        <w:rPr>
          <w:b w:val="0"/>
          <w:i w:val="0"/>
          <w:smallCaps w:val="0"/>
          <w:strike w:val="0"/>
          <w:highlight w:val="cyan"/>
          <w:u w:val="single"/>
        </w:rPr>
        <w:t>over 14 months</w:t>
      </w:r>
      <w:r>
        <w:rPr>
          <w:b w:val="0"/>
          <w:i w:val="0"/>
          <w:smallCaps w:val="0"/>
          <w:strike w:val="0"/>
          <w:sz w:val="16"/>
          <w:u w:val="none"/>
        </w:rPr>
        <w:t xml:space="preserve">. </w:t>
      </w:r>
      <w:r>
        <w:rPr>
          <w:b w:val="0"/>
          <w:i w:val="0"/>
          <w:smallCaps w:val="0"/>
          <w:strike w:val="0"/>
          <w:u w:val="single"/>
        </w:rPr>
        <w:t xml:space="preserve">During the </w:t>
      </w:r>
      <w:r>
        <w:rPr>
          <w:b w:val="0"/>
          <w:i w:val="0"/>
          <w:smallCaps w:val="0"/>
          <w:strike w:val="0"/>
          <w:highlight w:val="cyan"/>
          <w:u w:val="single"/>
        </w:rPr>
        <w:t>pandemic</w:t>
      </w:r>
      <w:r>
        <w:rPr>
          <w:b w:val="0"/>
          <w:i w:val="0"/>
          <w:smallCaps w:val="0"/>
          <w:strike w:val="0"/>
          <w:u w:val="single"/>
        </w:rPr>
        <w:t>, there was an increase in bad faith applications for trademarks</w:t>
      </w:r>
      <w:r>
        <w:rPr>
          <w:b w:val="0"/>
          <w:i w:val="0"/>
          <w:smallCaps w:val="0"/>
          <w:strike w:val="0"/>
          <w:sz w:val="16"/>
          <w:u w:val="none"/>
        </w:rPr>
        <w:t xml:space="preserve">, including filing trademark applications without an intent to use it in the U.S. and attempting to register a trademark with an identical or confusingly similar existing trademark. </w:t>
      </w:r>
      <w:r>
        <w:rPr>
          <w:b w:val="0"/>
          <w:i w:val="0"/>
          <w:smallCaps w:val="0"/>
          <w:strike w:val="0"/>
          <w:u w:val="single"/>
        </w:rPr>
        <w:t xml:space="preserve">This </w:t>
      </w:r>
      <w:r>
        <w:rPr>
          <w:b w:val="0"/>
          <w:i w:val="0"/>
          <w:smallCaps w:val="0"/>
          <w:strike w:val="0"/>
          <w:highlight w:val="cyan"/>
          <w:u w:val="single"/>
        </w:rPr>
        <w:t>led to</w:t>
      </w:r>
      <w:r>
        <w:rPr>
          <w:b w:val="0"/>
          <w:i w:val="0"/>
          <w:smallCaps w:val="0"/>
          <w:strike w:val="0"/>
          <w:u w:val="single"/>
        </w:rPr>
        <w:t xml:space="preserve"> </w:t>
      </w:r>
      <w:r>
        <w:rPr>
          <w:b w:val="0"/>
          <w:i w:val="0"/>
          <w:smallCaps w:val="0"/>
          <w:strike w:val="0"/>
          <w:highlight w:val="cyan"/>
          <w:u w:val="single"/>
        </w:rPr>
        <w:t>spikes in applications</w:t>
      </w:r>
      <w:r>
        <w:rPr>
          <w:b w:val="0"/>
          <w:i w:val="0"/>
          <w:smallCaps w:val="0"/>
          <w:strike w:val="0"/>
          <w:u w:val="single"/>
        </w:rPr>
        <w:t xml:space="preserve"> in September and December of 2020</w:t>
      </w:r>
      <w:r>
        <w:rPr>
          <w:b w:val="0"/>
          <w:i w:val="0"/>
          <w:smallCaps w:val="0"/>
          <w:strike w:val="0"/>
          <w:sz w:val="22"/>
          <w:u w:val="single"/>
        </w:rPr>
        <w:t xml:space="preserve">. The </w:t>
      </w:r>
      <w:r>
        <w:rPr>
          <w:b w:val="0"/>
          <w:i w:val="0"/>
          <w:smallCaps w:val="0"/>
          <w:strike w:val="0"/>
          <w:sz w:val="22"/>
          <w:highlight w:val="cyan"/>
          <w:u w:val="single"/>
        </w:rPr>
        <w:t>agency aims to reduce</w:t>
      </w:r>
      <w:r>
        <w:rPr>
          <w:b w:val="0"/>
          <w:i w:val="0"/>
          <w:smallCaps w:val="0"/>
          <w:strike w:val="0"/>
          <w:sz w:val="22"/>
          <w:u w:val="single"/>
        </w:rPr>
        <w:t xml:space="preserve"> the trademark </w:t>
      </w:r>
      <w:r>
        <w:rPr>
          <w:b w:val="0"/>
          <w:i w:val="0"/>
          <w:smallCaps w:val="0"/>
          <w:strike w:val="0"/>
          <w:sz w:val="22"/>
          <w:highlight w:val="cyan"/>
          <w:u w:val="single"/>
        </w:rPr>
        <w:t>pendency</w:t>
      </w:r>
      <w:r>
        <w:rPr>
          <w:b w:val="0"/>
          <w:i w:val="0"/>
          <w:smallCaps w:val="0"/>
          <w:strike w:val="0"/>
          <w:sz w:val="22"/>
          <w:u w:val="single"/>
        </w:rPr>
        <w:t xml:space="preserve"> to four or five months but invites feedback from small businesses as to what goals and benchmarks the agency should set for applications</w:t>
      </w:r>
      <w:r>
        <w:rPr>
          <w:b w:val="0"/>
          <w:i w:val="0"/>
          <w:smallCaps w:val="0"/>
          <w:strike w:val="0"/>
          <w:sz w:val="16"/>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