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Independently, court inefficiency and </w:t>
      </w:r>
      <w:r>
        <w:rPr>
          <w:b/>
          <w:i w:val="0"/>
          <w:smallCaps w:val="0"/>
          <w:strike w:val="0"/>
          <w:sz w:val="26"/>
          <w:u w:val="single"/>
        </w:rPr>
        <w:t>increased caseloads</w:t>
      </w:r>
      <w:r>
        <w:rPr>
          <w:b/>
          <w:i w:val="0"/>
          <w:smallCaps w:val="0"/>
          <w:strike w:val="0"/>
          <w:sz w:val="26"/>
          <w:u w:val="none"/>
        </w:rPr>
        <w:t xml:space="preserve"> make justices </w:t>
      </w:r>
      <w:r>
        <w:rPr>
          <w:b/>
          <w:i w:val="0"/>
          <w:smallCaps w:val="0"/>
          <w:strike w:val="0"/>
          <w:sz w:val="26"/>
          <w:u w:val="single"/>
        </w:rPr>
        <w:t>push off</w:t>
      </w:r>
      <w:r>
        <w:rPr>
          <w:b/>
          <w:i w:val="0"/>
          <w:smallCaps w:val="0"/>
          <w:strike w:val="0"/>
          <w:sz w:val="26"/>
          <w:u w:val="none"/>
        </w:rPr>
        <w:t xml:space="preserve"> data-protection cases.</w:t>
      </w:r>
    </w:p>
    <w:p>
      <w:pPr>
        <w:spacing w:after="80"/>
      </w:pPr>
      <w:r>
        <w:rPr>
          <w:b w:val="0"/>
          <w:i w:val="0"/>
          <w:smallCaps w:val="0"/>
          <w:strike w:val="0"/>
          <w:u w:val="none"/>
        </w:rPr>
        <w:t xml:space="preserve">Thomas </w:t>
      </w:r>
      <w:r>
        <w:rPr>
          <w:b/>
          <w:i w:val="0"/>
          <w:smallCaps w:val="0"/>
          <w:strike w:val="0"/>
          <w:sz w:val="26"/>
          <w:u w:val="none"/>
        </w:rPr>
        <w:t>Haley 20</w:t>
      </w:r>
      <w:r>
        <w:rPr>
          <w:b w:val="0"/>
          <w:i w:val="0"/>
          <w:smallCaps w:val="0"/>
          <w:strike w:val="0"/>
          <w:u w:val="none"/>
        </w:rPr>
        <w:t>, Law Professor at the Virginia Law School, “Data Protection in Disarray,” https://digitalcommons.law.uw.edu/cgi/viewcontent.cgi?article=5133&amp;context=wlr</w:t>
      </w:r>
    </w:p>
    <w:p>
      <w:pPr>
        <w:spacing w:after="60"/>
      </w:pPr>
      <w:r>
        <w:rPr>
          <w:b w:val="0"/>
          <w:i w:val="0"/>
          <w:smallCaps w:val="0"/>
          <w:strike w:val="0"/>
          <w:color w:val="000000"/>
          <w:sz w:val="16"/>
          <w:u w:val="none"/>
        </w:rPr>
        <w:t>The Seventh Circuit may have said the quiet part out loud: "</w:t>
      </w:r>
      <w:r>
        <w:rPr>
          <w:b w:val="0"/>
          <w:i w:val="0"/>
          <w:smallCaps w:val="0"/>
          <w:strike w:val="0"/>
          <w:sz w:val="22"/>
          <w:u w:val="single"/>
        </w:rPr>
        <w:t xml:space="preserve">The </w:t>
      </w:r>
      <w:r>
        <w:rPr>
          <w:b w:val="0"/>
          <w:i w:val="0"/>
          <w:smallCaps w:val="0"/>
          <w:strike w:val="0"/>
          <w:sz w:val="22"/>
          <w:highlight w:val="cyan"/>
          <w:u w:val="single"/>
        </w:rPr>
        <w:t>standing rule reduces</w:t>
      </w:r>
      <w:r>
        <w:rPr>
          <w:b w:val="0"/>
          <w:i w:val="0"/>
          <w:smallCaps w:val="0"/>
          <w:strike w:val="0"/>
          <w:sz w:val="22"/>
          <w:u w:val="single"/>
        </w:rPr>
        <w:t xml:space="preserve"> the </w:t>
      </w:r>
      <w:r>
        <w:rPr>
          <w:b/>
          <w:i w:val="0"/>
          <w:smallCaps w:val="0"/>
          <w:strike w:val="0"/>
          <w:sz w:val="22"/>
          <w:highlight w:val="cyan"/>
          <w:u w:val="single"/>
        </w:rPr>
        <w:t>workload</w:t>
      </w:r>
      <w:r>
        <w:rPr>
          <w:b w:val="0"/>
          <w:i w:val="0"/>
          <w:smallCaps w:val="0"/>
          <w:strike w:val="0"/>
          <w:sz w:val="22"/>
          <w:highlight w:val="cyan"/>
          <w:u w:val="single"/>
        </w:rPr>
        <w:t xml:space="preserve"> of </w:t>
      </w:r>
      <w:r>
        <w:rPr>
          <w:b w:val="0"/>
          <w:i w:val="0"/>
          <w:smallCaps w:val="0"/>
          <w:strike w:val="0"/>
          <w:sz w:val="22"/>
          <w:u w:val="single"/>
        </w:rPr>
        <w:t>the federal</w:t>
      </w:r>
      <w:r>
        <w:rPr>
          <w:b w:val="0"/>
          <w:i w:val="0"/>
          <w:smallCaps w:val="0"/>
          <w:strike w:val="0"/>
          <w:color w:val="000000"/>
          <w:sz w:val="16"/>
          <w:u w:val="none"/>
        </w:rPr>
        <w:t xml:space="preserve"> </w:t>
      </w:r>
      <w:r>
        <w:rPr>
          <w:b/>
          <w:i w:val="0"/>
          <w:smallCaps w:val="0"/>
          <w:strike w:val="0"/>
          <w:sz w:val="22"/>
          <w:highlight w:val="cyan"/>
          <w:u w:val="single"/>
        </w:rPr>
        <w:t>judiciary</w:t>
      </w:r>
      <w:r>
        <w:rPr>
          <w:b w:val="0"/>
          <w:i w:val="0"/>
          <w:smallCaps w:val="0"/>
          <w:strike w:val="0"/>
          <w:color w:val="000000"/>
          <w:sz w:val="16"/>
          <w:u w:val="none"/>
        </w:rPr>
        <w:t xml:space="preserve">...." (205) </w:t>
      </w:r>
      <w:r>
        <w:rPr>
          <w:b w:val="0"/>
          <w:i w:val="0"/>
          <w:smallCaps w:val="0"/>
          <w:strike w:val="0"/>
          <w:sz w:val="22"/>
          <w:u w:val="single"/>
        </w:rPr>
        <w:t xml:space="preserve">While literally true, that is neither an accepted nor </w:t>
      </w:r>
      <w:r>
        <w:rPr>
          <w:b/>
          <w:i w:val="0"/>
          <w:smallCaps w:val="0"/>
          <w:strike w:val="0"/>
          <w:sz w:val="22"/>
          <w:u w:val="single"/>
        </w:rPr>
        <w:t>acceptable</w:t>
      </w:r>
      <w:r>
        <w:rPr>
          <w:b w:val="0"/>
          <w:i w:val="0"/>
          <w:smallCaps w:val="0"/>
          <w:strike w:val="0"/>
          <w:sz w:val="22"/>
          <w:u w:val="single"/>
        </w:rPr>
        <w:t xml:space="preserve"> justification for standing doctrine</w:t>
      </w:r>
      <w:r>
        <w:rPr>
          <w:b w:val="0"/>
          <w:i w:val="0"/>
          <w:smallCaps w:val="0"/>
          <w:strike w:val="0"/>
          <w:color w:val="000000"/>
          <w:sz w:val="16"/>
          <w:u w:val="none"/>
        </w:rPr>
        <w:t>. (206) The existence of a "Case" or "Controversy" does not depend on how pleased the court will be to hear it. Article III does not give the judiciary the ability to set its caseload. And a dispute will be no less adversarial between the parties if it is the tenth hearing on a court's calendar rather than the first. Indeed, around the time that the Supreme Court threw standing jurisprudence for a loop in Clapper, it admonished that federal courts are obligated to hear cases falling within their jurisdiction. (207)</w:t>
      </w:r>
    </w:p>
    <w:p>
      <w:pPr>
        <w:spacing w:after="60"/>
      </w:pPr>
      <w:r>
        <w:rPr>
          <w:b w:val="0"/>
          <w:i w:val="0"/>
          <w:smallCaps w:val="0"/>
          <w:strike w:val="0"/>
          <w:sz w:val="16"/>
          <w:u w:val="none"/>
        </w:rPr>
        <w:t xml:space="preserve">Yet the appeal of the standing dismissal to the federal judge is impossible to ignore. The </w:t>
      </w:r>
      <w:r>
        <w:rPr>
          <w:b/>
          <w:i w:val="0"/>
          <w:smallCaps w:val="0"/>
          <w:strike w:val="0"/>
          <w:sz w:val="22"/>
          <w:u w:val="single"/>
        </w:rPr>
        <w:t>massive</w:t>
      </w:r>
      <w:r>
        <w:rPr>
          <w:b w:val="0"/>
          <w:i w:val="0"/>
          <w:smallCaps w:val="0"/>
          <w:strike w:val="0"/>
          <w:sz w:val="22"/>
          <w:u w:val="single"/>
        </w:rPr>
        <w:t xml:space="preserve"> and </w:t>
      </w:r>
      <w:r>
        <w:rPr>
          <w:b/>
          <w:i w:val="0"/>
          <w:smallCaps w:val="0"/>
          <w:strike w:val="0"/>
          <w:sz w:val="22"/>
          <w:highlight w:val="cyan"/>
          <w:u w:val="single"/>
        </w:rPr>
        <w:t>increasing caseload</w:t>
      </w:r>
      <w:r>
        <w:rPr>
          <w:b w:val="0"/>
          <w:i w:val="0"/>
          <w:smallCaps w:val="0"/>
          <w:strike w:val="0"/>
          <w:sz w:val="22"/>
          <w:highlight w:val="cyan"/>
          <w:u w:val="single"/>
        </w:rPr>
        <w:t xml:space="preserve"> in</w:t>
      </w:r>
      <w:r>
        <w:rPr>
          <w:b w:val="0"/>
          <w:i w:val="0"/>
          <w:smallCaps w:val="0"/>
          <w:strike w:val="0"/>
          <w:sz w:val="16"/>
          <w:u w:val="none"/>
        </w:rPr>
        <w:t xml:space="preserve"> the </w:t>
      </w:r>
      <w:r>
        <w:rPr>
          <w:b/>
          <w:i w:val="0"/>
          <w:smallCaps w:val="0"/>
          <w:strike w:val="0"/>
          <w:sz w:val="22"/>
          <w:highlight w:val="cyan"/>
          <w:u w:val="single"/>
        </w:rPr>
        <w:t>federal courts</w:t>
      </w:r>
      <w:r>
        <w:rPr>
          <w:b w:val="0"/>
          <w:i w:val="0"/>
          <w:smallCaps w:val="0"/>
          <w:strike w:val="0"/>
          <w:sz w:val="16"/>
          <w:u w:val="none"/>
        </w:rPr>
        <w:t xml:space="preserve"> is well known. </w:t>
      </w:r>
      <w:r>
        <w:rPr>
          <w:b w:val="0"/>
          <w:i w:val="0"/>
          <w:smallCaps w:val="0"/>
          <w:strike w:val="0"/>
          <w:sz w:val="22"/>
          <w:u w:val="single"/>
        </w:rPr>
        <w:t xml:space="preserve">In the </w:t>
      </w:r>
      <w:r>
        <w:rPr>
          <w:b/>
          <w:i w:val="0"/>
          <w:smallCaps w:val="0"/>
          <w:strike w:val="0"/>
          <w:sz w:val="22"/>
          <w:highlight w:val="cyan"/>
          <w:u w:val="single"/>
        </w:rPr>
        <w:t>data-protection</w:t>
      </w:r>
      <w:r>
        <w:rPr>
          <w:b/>
          <w:i w:val="0"/>
          <w:smallCaps w:val="0"/>
          <w:strike w:val="0"/>
          <w:sz w:val="22"/>
          <w:u w:val="single"/>
        </w:rPr>
        <w:t xml:space="preserve"> context</w:t>
      </w:r>
      <w:r>
        <w:rPr>
          <w:b w:val="0"/>
          <w:i w:val="0"/>
          <w:smallCaps w:val="0"/>
          <w:strike w:val="0"/>
          <w:sz w:val="22"/>
          <w:highlight w:val="cyan"/>
          <w:u w:val="single"/>
        </w:rPr>
        <w:t>, cases</w:t>
      </w:r>
      <w:r>
        <w:rPr>
          <w:b w:val="0"/>
          <w:i w:val="0"/>
          <w:smallCaps w:val="0"/>
          <w:strike w:val="0"/>
          <w:sz w:val="22"/>
          <w:u w:val="single"/>
        </w:rPr>
        <w:t xml:space="preserve"> typically </w:t>
      </w:r>
      <w:r>
        <w:rPr>
          <w:b w:val="0"/>
          <w:i w:val="0"/>
          <w:smallCaps w:val="0"/>
          <w:strike w:val="0"/>
          <w:sz w:val="22"/>
          <w:highlight w:val="cyan"/>
          <w:u w:val="single"/>
        </w:rPr>
        <w:t xml:space="preserve">promise to be </w:t>
      </w:r>
      <w:r>
        <w:rPr>
          <w:b/>
          <w:i w:val="0"/>
          <w:smallCaps w:val="0"/>
          <w:strike w:val="0"/>
          <w:sz w:val="22"/>
          <w:highlight w:val="cyan"/>
          <w:u w:val="single"/>
        </w:rPr>
        <w:t>long</w:t>
      </w:r>
      <w:r>
        <w:rPr>
          <w:b w:val="0"/>
          <w:i w:val="0"/>
          <w:smallCaps w:val="0"/>
          <w:strike w:val="0"/>
          <w:sz w:val="22"/>
          <w:highlight w:val="cyan"/>
          <w:u w:val="single"/>
        </w:rPr>
        <w:t xml:space="preserve"> and </w:t>
      </w:r>
      <w:r>
        <w:rPr>
          <w:b/>
          <w:i w:val="0"/>
          <w:smallCaps w:val="0"/>
          <w:strike w:val="0"/>
          <w:sz w:val="22"/>
          <w:highlight w:val="cyan"/>
          <w:u w:val="single"/>
        </w:rPr>
        <w:t>involved</w:t>
      </w:r>
      <w:r>
        <w:rPr>
          <w:b w:val="0"/>
          <w:i w:val="0"/>
          <w:smallCaps w:val="0"/>
          <w:strike w:val="0"/>
          <w:sz w:val="16"/>
          <w:highlight w:val="cyan"/>
          <w:u w:val="none"/>
        </w:rPr>
        <w:t xml:space="preserve">. </w:t>
      </w:r>
      <w:r>
        <w:rPr>
          <w:b w:val="0"/>
          <w:i w:val="0"/>
          <w:smallCaps w:val="0"/>
          <w:strike w:val="0"/>
          <w:sz w:val="22"/>
          <w:highlight w:val="cyan"/>
          <w:u w:val="single"/>
        </w:rPr>
        <w:t>Most</w:t>
      </w:r>
      <w:r>
        <w:rPr>
          <w:b w:val="0"/>
          <w:i w:val="0"/>
          <w:smallCaps w:val="0"/>
          <w:strike w:val="0"/>
          <w:sz w:val="22"/>
          <w:u w:val="single"/>
        </w:rPr>
        <w:t xml:space="preserve"> arise </w:t>
      </w:r>
      <w:r>
        <w:rPr>
          <w:b w:val="0"/>
          <w:i w:val="0"/>
          <w:smallCaps w:val="0"/>
          <w:strike w:val="0"/>
          <w:sz w:val="22"/>
          <w:highlight w:val="cyan"/>
          <w:u w:val="single"/>
        </w:rPr>
        <w:t>from</w:t>
      </w:r>
      <w:r>
        <w:rPr>
          <w:b w:val="0"/>
          <w:i w:val="0"/>
          <w:smallCaps w:val="0"/>
          <w:strike w:val="0"/>
          <w:sz w:val="22"/>
          <w:u w:val="single"/>
        </w:rPr>
        <w:t xml:space="preserve"> large-scale </w:t>
      </w:r>
      <w:r>
        <w:rPr>
          <w:b w:val="0"/>
          <w:i w:val="0"/>
          <w:smallCaps w:val="0"/>
          <w:strike w:val="0"/>
          <w:sz w:val="22"/>
          <w:highlight w:val="cyan"/>
          <w:u w:val="single"/>
        </w:rPr>
        <w:t>data breaches</w:t>
      </w:r>
      <w:r>
        <w:rPr>
          <w:b w:val="0"/>
          <w:i w:val="0"/>
          <w:smallCaps w:val="0"/>
          <w:strike w:val="0"/>
          <w:sz w:val="22"/>
          <w:u w:val="single"/>
        </w:rPr>
        <w:t xml:space="preserve"> or inappropriate, indiscriminate data collection. As such, </w:t>
      </w:r>
      <w:r>
        <w:rPr>
          <w:b w:val="0"/>
          <w:i w:val="0"/>
          <w:smallCaps w:val="0"/>
          <w:strike w:val="0"/>
          <w:sz w:val="22"/>
          <w:highlight w:val="cyan"/>
          <w:u w:val="single"/>
        </w:rPr>
        <w:t>they are</w:t>
      </w:r>
      <w:r>
        <w:rPr>
          <w:b w:val="0"/>
          <w:i w:val="0"/>
          <w:smallCaps w:val="0"/>
          <w:strike w:val="0"/>
          <w:sz w:val="22"/>
          <w:u w:val="single"/>
        </w:rPr>
        <w:t xml:space="preserve"> usually brought as </w:t>
      </w:r>
      <w:r>
        <w:rPr>
          <w:b/>
          <w:i w:val="0"/>
          <w:smallCaps w:val="0"/>
          <w:strike w:val="0"/>
          <w:sz w:val="22"/>
          <w:highlight w:val="cyan"/>
          <w:u w:val="single"/>
        </w:rPr>
        <w:t>class actions</w:t>
      </w:r>
      <w:r>
        <w:rPr>
          <w:b w:val="0"/>
          <w:i w:val="0"/>
          <w:smallCaps w:val="0"/>
          <w:strike w:val="0"/>
          <w:sz w:val="22"/>
          <w:highlight w:val="cyan"/>
          <w:u w:val="single"/>
        </w:rPr>
        <w:t xml:space="preserve"> and</w:t>
      </w:r>
      <w:r>
        <w:rPr>
          <w:b w:val="0"/>
          <w:i w:val="0"/>
          <w:smallCaps w:val="0"/>
          <w:strike w:val="0"/>
          <w:sz w:val="22"/>
          <w:u w:val="single"/>
        </w:rPr>
        <w:t xml:space="preserve"> implicate </w:t>
      </w:r>
      <w:r>
        <w:rPr>
          <w:b/>
          <w:i w:val="0"/>
          <w:smallCaps w:val="0"/>
          <w:strike w:val="0"/>
          <w:sz w:val="22"/>
          <w:highlight w:val="cyan"/>
          <w:u w:val="single"/>
        </w:rPr>
        <w:t>complex</w:t>
      </w:r>
      <w:r>
        <w:rPr>
          <w:b w:val="0"/>
          <w:i w:val="0"/>
          <w:smallCaps w:val="0"/>
          <w:strike w:val="0"/>
          <w:sz w:val="22"/>
          <w:u w:val="single"/>
        </w:rPr>
        <w:t xml:space="preserve"> technical issues. One can certainly understand why </w:t>
      </w:r>
      <w:r>
        <w:rPr>
          <w:b/>
          <w:i w:val="0"/>
          <w:smallCaps w:val="0"/>
          <w:strike w:val="0"/>
          <w:sz w:val="22"/>
          <w:highlight w:val="cyan"/>
          <w:u w:val="single"/>
        </w:rPr>
        <w:t>overworked judges</w:t>
      </w:r>
      <w:r>
        <w:rPr>
          <w:b w:val="0"/>
          <w:i w:val="0"/>
          <w:smallCaps w:val="0"/>
          <w:strike w:val="0"/>
          <w:sz w:val="22"/>
          <w:u w:val="single"/>
        </w:rPr>
        <w:t xml:space="preserve"> might be </w:t>
      </w:r>
      <w:r>
        <w:rPr>
          <w:b/>
          <w:i w:val="0"/>
          <w:smallCaps w:val="0"/>
          <w:strike w:val="0"/>
          <w:sz w:val="22"/>
          <w:highlight w:val="cyan"/>
          <w:u w:val="single"/>
        </w:rPr>
        <w:t>eager</w:t>
      </w:r>
      <w:r>
        <w:rPr>
          <w:b w:val="0"/>
          <w:i w:val="0"/>
          <w:smallCaps w:val="0"/>
          <w:strike w:val="0"/>
          <w:sz w:val="22"/>
          <w:highlight w:val="cyan"/>
          <w:u w:val="single"/>
        </w:rPr>
        <w:t xml:space="preserve"> to get</w:t>
      </w:r>
      <w:r>
        <w:rPr>
          <w:b w:val="0"/>
          <w:i w:val="0"/>
          <w:smallCaps w:val="0"/>
          <w:strike w:val="0"/>
          <w:sz w:val="22"/>
          <w:u w:val="single"/>
        </w:rPr>
        <w:t xml:space="preserve"> such </w:t>
      </w:r>
      <w:r>
        <w:rPr>
          <w:b w:val="0"/>
          <w:i w:val="0"/>
          <w:smallCaps w:val="0"/>
          <w:strike w:val="0"/>
          <w:sz w:val="22"/>
          <w:highlight w:val="cyan"/>
          <w:u w:val="single"/>
        </w:rPr>
        <w:t xml:space="preserve">cases </w:t>
      </w:r>
      <w:r>
        <w:rPr>
          <w:b/>
          <w:i w:val="0"/>
          <w:smallCaps w:val="0"/>
          <w:strike w:val="0"/>
          <w:sz w:val="22"/>
          <w:highlight w:val="cyan"/>
          <w:u w:val="single"/>
        </w:rPr>
        <w:t>off their dockets</w:t>
      </w:r>
      <w:r>
        <w:rPr>
          <w:b w:val="0"/>
          <w:i w:val="0"/>
          <w:smallCaps w:val="0"/>
          <w:strike w:val="0"/>
          <w:sz w:val="22"/>
          <w:u w:val="single"/>
        </w:rPr>
        <w:t>.</w:t>
      </w:r>
    </w:p>
    <w:p>
      <w:pPr>
        <w:spacing w:after="60"/>
      </w:pPr>
      <w:r>
        <w:rPr>
          <w:b w:val="0"/>
          <w:i w:val="0"/>
          <w:smallCaps w:val="0"/>
          <w:strike w:val="0"/>
          <w:sz w:val="16"/>
          <w:u w:val="none"/>
        </w:rPr>
        <w:t xml:space="preserve">With that in mind, </w:t>
      </w:r>
      <w:r>
        <w:rPr>
          <w:b w:val="0"/>
          <w:i w:val="0"/>
          <w:smallCaps w:val="0"/>
          <w:strike w:val="0"/>
          <w:sz w:val="22"/>
          <w:highlight w:val="cyan"/>
          <w:u w:val="single"/>
        </w:rPr>
        <w:t xml:space="preserve">dismissal for </w:t>
      </w:r>
      <w:r>
        <w:rPr>
          <w:b/>
          <w:i w:val="0"/>
          <w:smallCaps w:val="0"/>
          <w:strike w:val="0"/>
          <w:sz w:val="22"/>
          <w:highlight w:val="cyan"/>
          <w:u w:val="single"/>
        </w:rPr>
        <w:t>lack of standing</w:t>
      </w:r>
      <w:r>
        <w:rPr>
          <w:b w:val="0"/>
          <w:i w:val="0"/>
          <w:smallCaps w:val="0"/>
          <w:strike w:val="0"/>
          <w:sz w:val="22"/>
          <w:u w:val="single"/>
        </w:rPr>
        <w:t xml:space="preserve"> has a </w:t>
      </w:r>
      <w:r>
        <w:rPr>
          <w:b/>
          <w:i w:val="0"/>
          <w:smallCaps w:val="0"/>
          <w:strike w:val="0"/>
          <w:sz w:val="22"/>
          <w:u w:val="single"/>
        </w:rPr>
        <w:t>special appeal</w:t>
      </w:r>
      <w:r>
        <w:rPr>
          <w:b w:val="0"/>
          <w:i w:val="0"/>
          <w:smallCaps w:val="0"/>
          <w:strike w:val="0"/>
          <w:sz w:val="22"/>
          <w:u w:val="single"/>
        </w:rPr>
        <w:t xml:space="preserve"> over other means of dispensing with a case: it is a non-merits dismissal</w:t>
      </w:r>
      <w:r>
        <w:rPr>
          <w:b w:val="0"/>
          <w:i w:val="0"/>
          <w:smallCaps w:val="0"/>
          <w:strike w:val="0"/>
          <w:sz w:val="16"/>
          <w:u w:val="none"/>
        </w:rPr>
        <w:t xml:space="preserve">. </w:t>
      </w:r>
      <w:r>
        <w:rPr>
          <w:b w:val="0"/>
          <w:i w:val="0"/>
          <w:smallCaps w:val="0"/>
          <w:strike w:val="0"/>
          <w:sz w:val="22"/>
          <w:u w:val="single"/>
        </w:rPr>
        <w:t xml:space="preserve">Even if erroneous or improperly motivated, a dismissal for lack of standing </w:t>
      </w:r>
      <w:r>
        <w:rPr>
          <w:b w:val="0"/>
          <w:i w:val="0"/>
          <w:smallCaps w:val="0"/>
          <w:strike w:val="0"/>
          <w:sz w:val="22"/>
          <w:highlight w:val="cyan"/>
          <w:u w:val="single"/>
        </w:rPr>
        <w:t>works relatively little injustice</w:t>
      </w:r>
      <w:r>
        <w:rPr>
          <w:b w:val="0"/>
          <w:i w:val="0"/>
          <w:smallCaps w:val="0"/>
          <w:strike w:val="0"/>
          <w:sz w:val="22"/>
          <w:u w:val="single"/>
        </w:rPr>
        <w:t xml:space="preserve">, as </w:t>
      </w:r>
      <w:r>
        <w:rPr>
          <w:b w:val="0"/>
          <w:i w:val="0"/>
          <w:smallCaps w:val="0"/>
          <w:strike w:val="0"/>
          <w:sz w:val="22"/>
          <w:highlight w:val="cyan"/>
          <w:u w:val="single"/>
        </w:rPr>
        <w:t>its effect is</w:t>
      </w:r>
      <w:r>
        <w:rPr>
          <w:b w:val="0"/>
          <w:i w:val="0"/>
          <w:smallCaps w:val="0"/>
          <w:strike w:val="0"/>
          <w:sz w:val="22"/>
          <w:u w:val="single"/>
        </w:rPr>
        <w:t xml:space="preserve"> only </w:t>
      </w:r>
      <w:r>
        <w:rPr>
          <w:b w:val="0"/>
          <w:i w:val="0"/>
          <w:smallCaps w:val="0"/>
          <w:strike w:val="0"/>
          <w:sz w:val="22"/>
          <w:highlight w:val="cyan"/>
          <w:u w:val="single"/>
        </w:rPr>
        <w:t xml:space="preserve">to </w:t>
      </w:r>
      <w:r>
        <w:rPr>
          <w:b/>
          <w:i w:val="0"/>
          <w:smallCaps w:val="0"/>
          <w:strike w:val="0"/>
          <w:sz w:val="22"/>
          <w:highlight w:val="cyan"/>
          <w:u w:val="single"/>
        </w:rPr>
        <w:t>banish the suit</w:t>
      </w:r>
      <w:r>
        <w:rPr>
          <w:b w:val="0"/>
          <w:i w:val="0"/>
          <w:smallCaps w:val="0"/>
          <w:strike w:val="0"/>
          <w:sz w:val="22"/>
          <w:u w:val="single"/>
        </w:rPr>
        <w:t xml:space="preserve"> to state court</w:t>
      </w:r>
      <w:r>
        <w:rPr>
          <w:b w:val="0"/>
          <w:i w:val="0"/>
          <w:smallCaps w:val="0"/>
          <w:strike w:val="0"/>
          <w:sz w:val="16"/>
          <w:u w:val="none"/>
        </w:rPr>
        <w:t>. Moreover, as the data show, state-law and common-law claims predominate in data-protection litigation--the majority of cases analyzed involved such claims, while fewer than half of cases asserted claims under federal law. Allowing state courts to deal with state-law claims is a hallmark feature of the federal system, CAFA notwithstanding.</w:t>
      </w:r>
    </w:p>
    <w:p>
      <w:pPr>
        <w:spacing w:after="60"/>
      </w:pPr>
      <w:r>
        <w:rPr>
          <w:b w:val="0"/>
          <w:i w:val="0"/>
          <w:smallCaps w:val="0"/>
          <w:strike w:val="0"/>
          <w:sz w:val="16"/>
          <w:u w:val="none"/>
        </w:rPr>
        <w:t>The Northern District of Illinois' BIPA series of cases may proceed from this impulse. Most were brought initially in state court, then removed to federal court by defendants who seemed intent on challenging plaintiffs' right to bring suit at all. Confronted with the prospect of overseeing a lengthy, complicated class-action lawsuit brought by plaintiffs who did not want to be in federal court in the first place against defendants who appeared to be engaging in gamesmanship, the judges of the Northern District of Illinois may well have viewed dismissal for lack of standing as the best of all possible worlds.</w:t>
      </w:r>
    </w:p>
    <w:p>
      <w:pPr>
        <w:spacing w:after="60"/>
      </w:pPr>
      <w:r>
        <w:rPr>
          <w:b w:val="0"/>
          <w:i w:val="0"/>
          <w:smallCaps w:val="0"/>
          <w:strike w:val="0"/>
          <w:sz w:val="22"/>
          <w:u w:val="single"/>
        </w:rPr>
        <w:t xml:space="preserve">The </w:t>
      </w:r>
      <w:r>
        <w:rPr>
          <w:b w:val="0"/>
          <w:i w:val="0"/>
          <w:smallCaps w:val="0"/>
          <w:strike w:val="0"/>
          <w:sz w:val="22"/>
          <w:highlight w:val="cyan"/>
          <w:u w:val="single"/>
        </w:rPr>
        <w:t>data are</w:t>
      </w:r>
      <w:r>
        <w:rPr>
          <w:b w:val="0"/>
          <w:i w:val="0"/>
          <w:smallCaps w:val="0"/>
          <w:strike w:val="0"/>
          <w:sz w:val="22"/>
          <w:u w:val="single"/>
        </w:rPr>
        <w:t xml:space="preserve"> potentially </w:t>
      </w:r>
      <w:r>
        <w:rPr>
          <w:b/>
          <w:i w:val="0"/>
          <w:smallCaps w:val="0"/>
          <w:strike w:val="0"/>
          <w:sz w:val="22"/>
          <w:highlight w:val="cyan"/>
          <w:u w:val="single"/>
        </w:rPr>
        <w:t>consistent</w:t>
      </w:r>
      <w:r>
        <w:rPr>
          <w:b w:val="0"/>
          <w:i w:val="0"/>
          <w:smallCaps w:val="0"/>
          <w:strike w:val="0"/>
          <w:sz w:val="22"/>
          <w:highlight w:val="cyan"/>
          <w:u w:val="single"/>
        </w:rPr>
        <w:t xml:space="preserve"> with this </w:t>
      </w:r>
      <w:r>
        <w:rPr>
          <w:b/>
          <w:i w:val="0"/>
          <w:smallCaps w:val="0"/>
          <w:strike w:val="0"/>
          <w:sz w:val="22"/>
          <w:highlight w:val="cyan"/>
          <w:u w:val="single"/>
        </w:rPr>
        <w:t>explanation</w:t>
      </w:r>
      <w:r>
        <w:rPr>
          <w:b w:val="0"/>
          <w:i w:val="0"/>
          <w:smallCaps w:val="0"/>
          <w:strike w:val="0"/>
          <w:sz w:val="16"/>
          <w:u w:val="none"/>
        </w:rPr>
        <w:t xml:space="preserve">. In particular, </w:t>
      </w:r>
      <w:r>
        <w:rPr>
          <w:b w:val="0"/>
          <w:i w:val="0"/>
          <w:smallCaps w:val="0"/>
          <w:strike w:val="0"/>
          <w:sz w:val="22"/>
          <w:highlight w:val="cyan"/>
          <w:u w:val="single"/>
        </w:rPr>
        <w:t>appellate courts have been</w:t>
      </w:r>
      <w:r>
        <w:rPr>
          <w:b w:val="0"/>
          <w:i w:val="0"/>
          <w:smallCaps w:val="0"/>
          <w:strike w:val="0"/>
          <w:sz w:val="22"/>
          <w:u w:val="single"/>
        </w:rPr>
        <w:t xml:space="preserve"> significantly more </w:t>
      </w:r>
      <w:r>
        <w:rPr>
          <w:b w:val="0"/>
          <w:i w:val="0"/>
          <w:smallCaps w:val="0"/>
          <w:strike w:val="0"/>
          <w:sz w:val="22"/>
          <w:highlight w:val="cyan"/>
          <w:u w:val="single"/>
        </w:rPr>
        <w:t>solicitous</w:t>
      </w:r>
      <w:r>
        <w:rPr>
          <w:b w:val="0"/>
          <w:i w:val="0"/>
          <w:smallCaps w:val="0"/>
          <w:strike w:val="0"/>
          <w:sz w:val="22"/>
          <w:u w:val="single"/>
        </w:rPr>
        <w:t xml:space="preserve"> of plaintiffs </w:t>
      </w:r>
      <w:r>
        <w:rPr>
          <w:b w:val="0"/>
          <w:i w:val="0"/>
          <w:smallCaps w:val="0"/>
          <w:strike w:val="0"/>
          <w:sz w:val="22"/>
          <w:highlight w:val="cyan"/>
          <w:u w:val="single"/>
        </w:rPr>
        <w:t xml:space="preserve">in </w:t>
      </w:r>
      <w:r>
        <w:rPr>
          <w:b/>
          <w:i w:val="0"/>
          <w:smallCaps w:val="0"/>
          <w:strike w:val="0"/>
          <w:sz w:val="22"/>
          <w:highlight w:val="cyan"/>
          <w:u w:val="single"/>
        </w:rPr>
        <w:t>data-protection cases</w:t>
      </w:r>
      <w:r>
        <w:rPr>
          <w:b w:val="0"/>
          <w:i w:val="0"/>
          <w:smallCaps w:val="0"/>
          <w:strike w:val="0"/>
          <w:sz w:val="16"/>
          <w:u w:val="none"/>
        </w:rPr>
        <w:t xml:space="preserve">, finding standing in 75% of cases, compared to only 51% of district courts. </w:t>
      </w:r>
      <w:r>
        <w:rPr>
          <w:b w:val="0"/>
          <w:i w:val="0"/>
          <w:smallCaps w:val="0"/>
          <w:strike w:val="0"/>
          <w:sz w:val="22"/>
          <w:u w:val="single"/>
        </w:rPr>
        <w:t xml:space="preserve">In </w:t>
      </w:r>
      <w:r>
        <w:rPr>
          <w:b/>
          <w:i w:val="0"/>
          <w:smallCaps w:val="0"/>
          <w:strike w:val="0"/>
          <w:sz w:val="22"/>
          <w:highlight w:val="cyan"/>
          <w:u w:val="single"/>
        </w:rPr>
        <w:t>data-breach cases</w:t>
      </w:r>
      <w:r>
        <w:rPr>
          <w:b w:val="0"/>
          <w:i w:val="0"/>
          <w:smallCaps w:val="0"/>
          <w:strike w:val="0"/>
          <w:sz w:val="22"/>
          <w:u w:val="single"/>
        </w:rPr>
        <w:t xml:space="preserve">, which likely </w:t>
      </w:r>
      <w:r>
        <w:rPr>
          <w:b w:val="0"/>
          <w:i w:val="0"/>
          <w:smallCaps w:val="0"/>
          <w:strike w:val="0"/>
          <w:sz w:val="22"/>
          <w:highlight w:val="cyan"/>
          <w:u w:val="single"/>
        </w:rPr>
        <w:t>present</w:t>
      </w:r>
      <w:r>
        <w:rPr>
          <w:b w:val="0"/>
          <w:i w:val="0"/>
          <w:smallCaps w:val="0"/>
          <w:strike w:val="0"/>
          <w:sz w:val="22"/>
          <w:u w:val="single"/>
        </w:rPr>
        <w:t xml:space="preserve"> both the </w:t>
      </w:r>
      <w:r>
        <w:rPr>
          <w:b/>
          <w:i w:val="0"/>
          <w:smallCaps w:val="0"/>
          <w:strike w:val="0"/>
          <w:sz w:val="22"/>
          <w:u w:val="single"/>
        </w:rPr>
        <w:t xml:space="preserve">most </w:t>
      </w:r>
      <w:r>
        <w:rPr>
          <w:b/>
          <w:i w:val="0"/>
          <w:smallCaps w:val="0"/>
          <w:strike w:val="0"/>
          <w:sz w:val="22"/>
          <w:highlight w:val="cyan"/>
          <w:u w:val="single"/>
        </w:rPr>
        <w:t>technically complicated</w:t>
      </w:r>
      <w:r>
        <w:rPr>
          <w:b w:val="0"/>
          <w:i w:val="0"/>
          <w:smallCaps w:val="0"/>
          <w:strike w:val="0"/>
          <w:sz w:val="22"/>
          <w:u w:val="single"/>
        </w:rPr>
        <w:t xml:space="preserve"> inquiries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2"/>
          <w:highlight w:val="cyan"/>
          <w:u w:val="single"/>
        </w:rPr>
        <w:t>most diffuse harms</w:t>
      </w:r>
      <w:r>
        <w:rPr>
          <w:b w:val="0"/>
          <w:i w:val="0"/>
          <w:smallCaps w:val="0"/>
          <w:strike w:val="0"/>
          <w:sz w:val="16"/>
          <w:u w:val="none"/>
        </w:rPr>
        <w:t xml:space="preserve">, </w:t>
      </w:r>
      <w:r>
        <w:rPr>
          <w:b w:val="0"/>
          <w:i w:val="0"/>
          <w:smallCaps w:val="0"/>
          <w:strike w:val="0"/>
          <w:sz w:val="22"/>
          <w:u w:val="single"/>
        </w:rPr>
        <w:t>appellate courts upheld standing in 79% of cases, compared to a mere 41% of district court cases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