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 xml:space="preserve">Court delays propel </w:t>
      </w:r>
      <w:r>
        <w:rPr>
          <w:b/>
          <w:i w:val="0"/>
          <w:smallCaps w:val="0"/>
          <w:strike w:val="0"/>
          <w:sz w:val="26"/>
          <w:u w:val="single"/>
        </w:rPr>
        <w:t>corruption</w:t>
      </w:r>
      <w:r>
        <w:rPr>
          <w:b/>
          <w:i w:val="0"/>
          <w:smallCaps w:val="0"/>
          <w:strike w:val="0"/>
          <w:sz w:val="26"/>
          <w:u w:val="none"/>
        </w:rPr>
        <w:t>.</w:t>
      </w:r>
    </w:p>
    <w:p>
      <w:pPr>
        <w:spacing w:after="80"/>
      </w:pPr>
      <w:r>
        <w:rPr>
          <w:b w:val="0"/>
          <w:i w:val="0"/>
          <w:smallCaps w:val="0"/>
          <w:strike w:val="0"/>
          <w:u w:val="none"/>
        </w:rPr>
        <w:t xml:space="preserve">Richard E. </w:t>
      </w:r>
      <w:r>
        <w:rPr>
          <w:b/>
          <w:i w:val="0"/>
          <w:smallCaps w:val="0"/>
          <w:strike w:val="0"/>
          <w:sz w:val="26"/>
          <w:u w:val="none"/>
        </w:rPr>
        <w:t>Messick 15</w:t>
      </w:r>
      <w:r>
        <w:rPr>
          <w:b w:val="0"/>
          <w:i w:val="0"/>
          <w:smallCaps w:val="0"/>
          <w:strike w:val="0"/>
          <w:u w:val="none"/>
        </w:rPr>
        <w:t>, legal consultant and former World Bank lawyer, “Uncorking the bottlenecks: Using political economy analysis to address court delay,” https://www.cmi.no/publications/5847-using-political-economy-analysis-to-address-court</w:t>
      </w:r>
    </w:p>
    <w:p>
      <w:pPr>
        <w:spacing w:after="60"/>
      </w:pPr>
      <w:r>
        <w:rPr>
          <w:b/>
          <w:i w:val="0"/>
          <w:smallCaps w:val="0"/>
          <w:strike w:val="0"/>
          <w:sz w:val="22"/>
          <w:u w:val="single"/>
        </w:rPr>
        <w:t xml:space="preserve">Endemic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delay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undercuts efforts to control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corruption</w:t>
      </w:r>
      <w:r>
        <w:rPr>
          <w:b w:val="0"/>
          <w:i w:val="0"/>
          <w:smallCaps w:val="0"/>
          <w:strike w:val="0"/>
          <w:sz w:val="14"/>
          <w:u w:val="none"/>
        </w:rPr>
        <w:t xml:space="preserve">, for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it robs the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/>
          <w:i w:val="0"/>
          <w:smallCaps w:val="0"/>
          <w:strike w:val="0"/>
          <w:sz w:val="22"/>
          <w:u w:val="single"/>
        </w:rPr>
        <w:t xml:space="preserve">criminal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law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of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its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deterrent effect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. The </w:t>
      </w:r>
      <w:r>
        <w:rPr>
          <w:b/>
          <w:i w:val="0"/>
          <w:smallCaps w:val="0"/>
          <w:strike w:val="0"/>
          <w:sz w:val="22"/>
          <w:u w:val="single"/>
        </w:rPr>
        <w:t>one consistent finding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across recent reviews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of </w:t>
      </w:r>
      <w:r>
        <w:rPr>
          <w:b/>
          <w:i w:val="0"/>
          <w:smallCaps w:val="0"/>
          <w:strike w:val="0"/>
          <w:sz w:val="22"/>
          <w:u w:val="single"/>
        </w:rPr>
        <w:t>anti-corruption policy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is that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it is </w:t>
      </w:r>
      <w:r>
        <w:rPr>
          <w:b/>
          <w:i w:val="0"/>
          <w:smallCaps w:val="0"/>
          <w:strike w:val="0"/>
          <w:sz w:val="22"/>
          <w:u w:val="single"/>
        </w:rPr>
        <w:t>fear of punishment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that </w:t>
      </w:r>
      <w:r>
        <w:rPr>
          <w:b w:val="0"/>
          <w:i w:val="0"/>
          <w:smallCaps w:val="0"/>
          <w:strike w:val="0"/>
          <w:sz w:val="22"/>
          <w:u w:val="single"/>
        </w:rPr>
        <w:t>dissuades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public servants from taking a bribe or committing other </w:t>
      </w:r>
      <w:r>
        <w:rPr>
          <w:b/>
          <w:i w:val="0"/>
          <w:smallCaps w:val="0"/>
          <w:strike w:val="0"/>
          <w:sz w:val="22"/>
          <w:u w:val="single"/>
        </w:rPr>
        <w:t>corrupt acts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(Hanna et al. 2011). </w:t>
      </w:r>
      <w:r>
        <w:rPr>
          <w:b w:val="0"/>
          <w:i w:val="0"/>
          <w:smallCaps w:val="0"/>
          <w:strike w:val="0"/>
          <w:sz w:val="22"/>
          <w:u w:val="single"/>
        </w:rPr>
        <w:t>If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corrupt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actors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think they can </w:t>
      </w:r>
      <w:r>
        <w:rPr>
          <w:b w:val="0"/>
          <w:i w:val="0"/>
          <w:smallCaps w:val="0"/>
          <w:strike w:val="0"/>
          <w:sz w:val="22"/>
          <w:u w:val="single"/>
        </w:rPr>
        <w:t>evade consequences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by delaying their case, </w:t>
      </w:r>
      <w:r>
        <w:rPr>
          <w:b w:val="0"/>
          <w:i w:val="0"/>
          <w:smallCaps w:val="0"/>
          <w:strike w:val="0"/>
          <w:sz w:val="22"/>
          <w:u w:val="single"/>
        </w:rPr>
        <w:t>they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will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discount the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threat of punishment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. Where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court delays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are severe</w:t>
      </w:r>
      <w:r>
        <w:rPr>
          <w:b w:val="0"/>
          <w:i w:val="0"/>
          <w:smallCaps w:val="0"/>
          <w:strike w:val="0"/>
          <w:sz w:val="22"/>
          <w:u w:val="single"/>
        </w:rPr>
        <w:t>, it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thus </w:t>
      </w:r>
      <w:r>
        <w:rPr>
          <w:b w:val="0"/>
          <w:i w:val="0"/>
          <w:smallCaps w:val="0"/>
          <w:strike w:val="0"/>
          <w:sz w:val="22"/>
          <w:u w:val="single"/>
        </w:rPr>
        <w:t>makes little difference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how </w:t>
      </w:r>
      <w:r>
        <w:rPr>
          <w:b/>
          <w:i w:val="0"/>
          <w:smallCaps w:val="0"/>
          <w:strike w:val="0"/>
          <w:sz w:val="22"/>
          <w:u w:val="single"/>
        </w:rPr>
        <w:t>stringent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the penalties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on the books </w:t>
      </w:r>
      <w:r>
        <w:rPr>
          <w:b w:val="0"/>
          <w:i w:val="0"/>
          <w:smallCaps w:val="0"/>
          <w:strike w:val="0"/>
          <w:sz w:val="22"/>
          <w:u w:val="single"/>
        </w:rPr>
        <w:t>may be</w:t>
      </w:r>
      <w:r>
        <w:rPr>
          <w:b w:val="0"/>
          <w:i w:val="0"/>
          <w:smallCaps w:val="0"/>
          <w:strike w:val="0"/>
          <w:sz w:val="14"/>
          <w:u w:val="none"/>
        </w:rPr>
        <w:t>.</w:t>
      </w:r>
    </w:p>
    <w:p>
      <w:pPr>
        <w:pStyle w:val="Caption"/>
      </w:pPr>
      <w:r>
        <w:t>Source: Bona Fide De Minimis - Michigan 7 2024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