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6"/>
          <w:u w:val="none"/>
        </w:rPr>
        <w:t>Trademarks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single"/>
        </w:rPr>
        <w:t>reduce</w:t>
      </w:r>
      <w:r>
        <w:rPr>
          <w:b/>
          <w:i w:val="0"/>
          <w:smallCaps w:val="0"/>
          <w:strike w:val="0"/>
          <w:sz w:val="26"/>
          <w:u w:val="none"/>
        </w:rPr>
        <w:t xml:space="preserve"> the exit rate of small firms, signal greater quality to funders, and fosters more partnerships </w:t>
      </w:r>
      <w:r>
        <w:rPr>
          <w:b w:val="0"/>
          <w:i w:val="0"/>
          <w:smallCaps w:val="0"/>
          <w:strike w:val="0"/>
          <w:sz w:val="26"/>
          <w:u w:val="none"/>
        </w:rPr>
        <w:t>–</w:t>
      </w:r>
      <w:r>
        <w:rPr>
          <w:b/>
          <w:i w:val="0"/>
          <w:smallCaps w:val="0"/>
          <w:strike w:val="0"/>
          <w:sz w:val="26"/>
          <w:u w:val="none"/>
        </w:rPr>
        <w:t xml:space="preserve"> </w:t>
      </w:r>
      <w:r>
        <w:rPr>
          <w:b w:val="0"/>
          <w:i w:val="0"/>
          <w:smallCaps w:val="0"/>
          <w:strike w:val="0"/>
          <w:sz w:val="26"/>
          <w:u w:val="none"/>
        </w:rPr>
        <w:t xml:space="preserve">consensus of studies </w:t>
      </w:r>
      <w:r>
        <w:rPr>
          <w:b w:val="0"/>
          <w:i w:val="0"/>
          <w:smallCaps w:val="0"/>
          <w:strike w:val="0"/>
          <w:sz w:val="26"/>
          <w:u w:val="single"/>
        </w:rPr>
        <w:t>proves</w:t>
      </w:r>
      <w:r>
        <w:rPr>
          <w:b w:val="0"/>
          <w:i w:val="0"/>
          <w:smallCaps w:val="0"/>
          <w:strike w:val="0"/>
          <w:sz w:val="26"/>
          <w:u w:val="none"/>
        </w:rPr>
        <w:t xml:space="preserve"> </w:t>
      </w:r>
      <w:r>
        <w:rPr>
          <w:b/>
          <w:i w:val="0"/>
          <w:smallCaps w:val="0"/>
          <w:strike w:val="0"/>
          <w:sz w:val="26"/>
          <w:u w:val="none"/>
        </w:rPr>
        <w:t>the AFF</w:t>
      </w:r>
      <w:r>
        <w:rPr>
          <w:b/>
          <w:i w:val="0"/>
          <w:smallCaps w:val="0"/>
          <w:strike w:val="0"/>
          <w:sz w:val="26"/>
          <w:u w:val="none"/>
        </w:rPr>
        <w:t xml:space="preserve"> is </w:t>
      </w:r>
      <w:r>
        <w:rPr>
          <w:b/>
          <w:i w:val="0"/>
          <w:smallCaps w:val="0"/>
          <w:strike w:val="0"/>
          <w:sz w:val="26"/>
          <w:u w:val="single"/>
        </w:rPr>
        <w:t>net-positive</w:t>
      </w:r>
      <w:r>
        <w:rPr>
          <w:b/>
          <w:i w:val="0"/>
          <w:smallCaps w:val="0"/>
          <w:strike w:val="0"/>
          <w:sz w:val="26"/>
          <w:u w:val="none"/>
        </w:rPr>
        <w:t xml:space="preserve"> for small firms.</w:t>
      </w:r>
    </w:p>
    <w:p>
      <w:pPr>
        <w:spacing w:after="80"/>
      </w:pPr>
      <w:r>
        <w:rPr>
          <w:b/>
          <w:i w:val="0"/>
          <w:smallCaps w:val="0"/>
          <w:strike w:val="0"/>
          <w:sz w:val="26"/>
          <w:u w:val="none"/>
        </w:rPr>
        <w:t xml:space="preserve">Power </w:t>
      </w:r>
      <w:r>
        <w:rPr>
          <w:b/>
          <w:i w:val="0"/>
          <w:smallCaps w:val="0"/>
          <w:strike w:val="0"/>
          <w:sz w:val="26"/>
          <w:u w:val="none"/>
        </w:rPr>
        <w:t>&amp;</w:t>
      </w:r>
      <w:r>
        <w:rPr>
          <w:b/>
          <w:i w:val="0"/>
          <w:smallCaps w:val="0"/>
          <w:strike w:val="0"/>
          <w:sz w:val="26"/>
          <w:u w:val="none"/>
        </w:rPr>
        <w:t xml:space="preserve"> Reid 20 </w:t>
      </w:r>
      <w:r>
        <w:rPr>
          <w:b w:val="0"/>
          <w:i w:val="0"/>
          <w:smallCaps w:val="0"/>
          <w:strike w:val="0"/>
          <w:sz w:val="16"/>
          <w:u w:val="none"/>
        </w:rPr>
        <w:t xml:space="preserve">– Bernadette Power (Ph.D. from the Department of Economics and Finance, University of St. Andrews, </w:t>
      </w:r>
      <w:r>
        <w:rPr>
          <w:b w:val="0"/>
          <w:i w:val="0"/>
          <w:smallCaps w:val="0"/>
          <w:strike w:val="0"/>
          <w:sz w:val="16"/>
          <w:u w:val="none"/>
        </w:rPr>
        <w:t>Lecturer in the Department of Economics, Cork University Business School</w:t>
      </w:r>
      <w:r>
        <w:rPr>
          <w:b w:val="0"/>
          <w:i w:val="0"/>
          <w:smallCaps w:val="0"/>
          <w:strike w:val="0"/>
          <w:sz w:val="16"/>
          <w:u w:val="none"/>
        </w:rPr>
        <w:t>); Gavin Reid (</w:t>
      </w:r>
      <w:r>
        <w:rPr>
          <w:b w:val="0"/>
          <w:i w:val="0"/>
          <w:smallCaps w:val="0"/>
          <w:strike w:val="0"/>
          <w:sz w:val="16"/>
          <w:u w:val="none"/>
        </w:rPr>
        <w:t>MA Economic Science, University of Aberdeen, MSc in Economic Theory and Econometrics, University of Southampton, Ph.D. in oligopoly theory, modelling price leadership and partial monopoly, University of Edinburgh</w:t>
      </w:r>
      <w:r>
        <w:rPr>
          <w:b w:val="0"/>
          <w:i w:val="0"/>
          <w:smallCaps w:val="0"/>
          <w:strike w:val="0"/>
          <w:sz w:val="16"/>
          <w:u w:val="none"/>
        </w:rPr>
        <w:t>), 11-23-2020, "The impact of intellectual property types on the performance of business start-ups in the United States", International Small Business Journal: Researching Entrepreneurship, https://journals.sagepub.com/doi/abs/10.1177/0266242620967009 /$antiP/</w:t>
      </w:r>
    </w:p>
    <w:p>
      <w:pPr>
        <w:spacing w:after="60"/>
      </w:pPr>
      <w:r>
        <w:rPr>
          <w:b w:val="0"/>
          <w:i w:val="0"/>
          <w:smallCaps w:val="0"/>
          <w:strike w:val="0"/>
          <w:u w:val="single"/>
        </w:rPr>
        <w:t>Trademarks protect brands rather than inventions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; they </w:t>
      </w:r>
      <w:r>
        <w:rPr>
          <w:b w:val="0"/>
          <w:i w:val="0"/>
          <w:smallCaps w:val="0"/>
          <w:strike w:val="0"/>
          <w:u w:val="single"/>
        </w:rPr>
        <w:t>signal product quality and help consumers to differentiate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between the products of a firm and its rivals (Besen and Raskind, 1991; Landes and Posner, 1987). </w:t>
      </w:r>
      <w:r>
        <w:rPr>
          <w:b w:val="0"/>
          <w:i w:val="0"/>
          <w:smallCaps w:val="0"/>
          <w:strike w:val="0"/>
          <w:u w:val="single"/>
        </w:rPr>
        <w:t>Small- and medium-sized enterprises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(SMEs) </w:t>
      </w:r>
      <w:r>
        <w:rPr>
          <w:b w:val="0"/>
          <w:i w:val="0"/>
          <w:smallCaps w:val="0"/>
          <w:strike w:val="0"/>
          <w:u w:val="single"/>
        </w:rPr>
        <w:t>are more likely to engage in trademarking than larger firms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(Greenhalgh and Rogers, 2010; Rogers et al., 2007); they differentiate their products in niche markets thus, strengthening their branding (Block et al., 2015). </w:t>
      </w:r>
      <w:r>
        <w:rPr>
          <w:b w:val="0"/>
          <w:i w:val="0"/>
          <w:smallCaps w:val="0"/>
          <w:strike w:val="0"/>
          <w:u w:val="single"/>
        </w:rPr>
        <w:t>It is also less costly and less complex to register trademarks, which arguably signals quality to equity funders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, and </w:t>
      </w:r>
      <w:r>
        <w:rPr>
          <w:b w:val="0"/>
          <w:i w:val="0"/>
          <w:smallCaps w:val="0"/>
          <w:strike w:val="0"/>
          <w:u w:val="single"/>
        </w:rPr>
        <w:t>fosters partnerships and strategic alliances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(Block et al., 2015; Motohashi, 2008). We argue that the </w:t>
      </w:r>
      <w:r>
        <w:rPr>
          <w:b w:val="0"/>
          <w:i w:val="0"/>
          <w:smallCaps w:val="0"/>
          <w:strike w:val="0"/>
          <w:u w:val="single"/>
        </w:rPr>
        <w:t>effects of trademarks on performance are likely to be positive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(Greenhalgh and Rogers, 2012; Sandner and Block, 2011); in support, Srinivasan et al. (2008), Jensen et al. (2008) and Helmers and Rogers (2010) find that </w:t>
      </w:r>
      <w:r>
        <w:rPr>
          <w:b w:val="0"/>
          <w:i w:val="0"/>
          <w:smallCaps w:val="0"/>
          <w:strike w:val="0"/>
          <w:u w:val="single"/>
        </w:rPr>
        <w:t>small firm trademarks reduce their exit rate. Therefore, H2 states that, for start-ups, a positive relationship exists between trademarking and performance</w:t>
      </w:r>
      <w:r>
        <w:rPr>
          <w:b w:val="0"/>
          <w:i w:val="0"/>
          <w:smallCaps w:val="0"/>
          <w:strike w:val="0"/>
          <w:sz w:val="16"/>
          <w:u w:val="none"/>
        </w:rPr>
        <w:t>.</w:t>
      </w:r>
    </w:p>
    <w:p>
      <w:pPr>
        <w:pStyle w:val="Caption"/>
      </w:pPr>
      <w:r>
        <w:t>Source: Bona Fide De Minimis - Michigan 7 2024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