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High applications </w:t>
      </w:r>
      <w:r>
        <w:rPr>
          <w:b/>
          <w:i w:val="0"/>
          <w:smallCaps w:val="0"/>
          <w:strike w:val="0"/>
          <w:sz w:val="26"/>
          <w:u w:val="single"/>
        </w:rPr>
        <w:t>now</w:t>
      </w:r>
      <w:r>
        <w:rPr>
          <w:b/>
          <w:i w:val="0"/>
          <w:smallCaps w:val="0"/>
          <w:strike w:val="0"/>
          <w:sz w:val="26"/>
          <w:u w:val="none"/>
        </w:rPr>
        <w:t>.</w:t>
      </w:r>
    </w:p>
    <w:p>
      <w:pPr>
        <w:spacing w:after="80"/>
      </w:pPr>
      <w:r>
        <w:rPr>
          <w:b/>
          <w:i w:val="0"/>
          <w:smallCaps w:val="0"/>
          <w:strike w:val="0"/>
          <w:sz w:val="26"/>
          <w:u w:val="none"/>
        </w:rPr>
        <w:t>Barbieri, 22</w:t>
      </w:r>
      <w:r>
        <w:rPr>
          <w:b w:val="0"/>
          <w:i w:val="0"/>
          <w:smallCaps w:val="0"/>
          <w:strike w:val="0"/>
          <w:u w:val="none"/>
        </w:rPr>
        <w:t xml:space="preserve">, C. Blair Barbieri has devoted a legal practice to assist clients in securing and protecting their intellectual property, 12/14/2022, “How Times Have Changed at the U.S. Patent and Trademark Office”, </w:t>
      </w:r>
    </w:p>
    <w:p>
      <w:pPr>
        <w:spacing w:after="60"/>
      </w:pPr>
      <w:r>
        <w:rPr>
          <w:b w:val="0"/>
          <w:i w:val="0"/>
          <w:smallCaps w:val="0"/>
          <w:strike w:val="0"/>
          <w:sz w:val="22"/>
          <w:highlight w:val="cyan"/>
          <w:u w:val="single"/>
        </w:rPr>
        <w:t>The U.S. P</w:t>
      </w:r>
      <w:r>
        <w:rPr>
          <w:b w:val="0"/>
          <w:i w:val="0"/>
          <w:smallCaps w:val="0"/>
          <w:strike w:val="0"/>
          <w:sz w:val="22"/>
          <w:u w:val="single"/>
        </w:rPr>
        <w:t xml:space="preserve">atent and </w:t>
      </w:r>
      <w:r>
        <w:rPr>
          <w:b w:val="0"/>
          <w:i w:val="0"/>
          <w:smallCaps w:val="0"/>
          <w:strike w:val="0"/>
          <w:sz w:val="22"/>
          <w:highlight w:val="cyan"/>
          <w:u w:val="single"/>
        </w:rPr>
        <w:t>T</w:t>
      </w:r>
      <w:r>
        <w:rPr>
          <w:b w:val="0"/>
          <w:i w:val="0"/>
          <w:smallCaps w:val="0"/>
          <w:strike w:val="0"/>
          <w:sz w:val="22"/>
          <w:u w:val="single"/>
        </w:rPr>
        <w:t xml:space="preserve">rademark </w:t>
      </w:r>
      <w:r>
        <w:rPr>
          <w:b w:val="0"/>
          <w:i w:val="0"/>
          <w:smallCaps w:val="0"/>
          <w:strike w:val="0"/>
          <w:sz w:val="22"/>
          <w:highlight w:val="cyan"/>
          <w:u w:val="single"/>
        </w:rPr>
        <w:t>O</w:t>
      </w:r>
      <w:r>
        <w:rPr>
          <w:b w:val="0"/>
          <w:i w:val="0"/>
          <w:smallCaps w:val="0"/>
          <w:strike w:val="0"/>
          <w:sz w:val="22"/>
          <w:u w:val="single"/>
        </w:rPr>
        <w:t xml:space="preserve">ffice saw record numbers of new trademark applications filed in 2021.During 2021, </w:t>
      </w:r>
      <w:r>
        <w:rPr>
          <w:b w:val="0"/>
          <w:i w:val="0"/>
          <w:smallCaps w:val="0"/>
          <w:strike w:val="0"/>
          <w:sz w:val="22"/>
          <w:highlight w:val="cyan"/>
          <w:u w:val="single"/>
        </w:rPr>
        <w:t>the USPTO reported</w:t>
      </w:r>
      <w:r>
        <w:rPr>
          <w:b w:val="0"/>
          <w:i w:val="0"/>
          <w:smallCaps w:val="0"/>
          <w:strike w:val="0"/>
          <w:sz w:val="22"/>
          <w:u w:val="single"/>
        </w:rPr>
        <w:t xml:space="preserve"> over </w:t>
      </w:r>
      <w:r>
        <w:rPr>
          <w:b w:val="0"/>
          <w:i w:val="0"/>
          <w:smallCaps w:val="0"/>
          <w:strike w:val="0"/>
          <w:sz w:val="22"/>
          <w:highlight w:val="cyan"/>
          <w:u w:val="single"/>
        </w:rPr>
        <w:t>a 25% increase in applications</w:t>
      </w:r>
      <w:r>
        <w:rPr>
          <w:b w:val="0"/>
          <w:i w:val="0"/>
          <w:smallCaps w:val="0"/>
          <w:strike w:val="0"/>
          <w:sz w:val="16"/>
          <w:u w:val="none"/>
        </w:rPr>
        <w:t>. See USPTO Performance and Accountability Report 2021, available here. Such a steep increase is thought to come from both foreign and domestic filings, with those from China outpacing growth from both U.S. applicants and applicants from other countries.</w:t>
      </w:r>
    </w:p>
    <w:p>
      <w:pPr>
        <w:spacing w:after="60"/>
      </w:pPr>
      <w:r>
        <w:rPr>
          <w:b w:val="0"/>
          <w:i w:val="0"/>
          <w:smallCaps w:val="0"/>
          <w:strike w:val="0"/>
          <w:sz w:val="22"/>
          <w:u w:val="single"/>
        </w:rPr>
        <w:t xml:space="preserve">As a result of the surge in new filings, </w:t>
      </w:r>
      <w:r>
        <w:rPr>
          <w:b w:val="0"/>
          <w:i w:val="0"/>
          <w:smallCaps w:val="0"/>
          <w:strike w:val="0"/>
          <w:sz w:val="22"/>
          <w:highlight w:val="cyan"/>
          <w:u w:val="single"/>
        </w:rPr>
        <w:t>there is now a backlog of</w:t>
      </w:r>
      <w:r>
        <w:rPr>
          <w:b w:val="0"/>
          <w:i w:val="0"/>
          <w:smallCaps w:val="0"/>
          <w:strike w:val="0"/>
          <w:sz w:val="22"/>
          <w:u w:val="single"/>
        </w:rPr>
        <w:t xml:space="preserve"> trademark </w:t>
      </w:r>
      <w:r>
        <w:rPr>
          <w:b/>
          <w:i w:val="0"/>
          <w:smallCaps w:val="0"/>
          <w:strike w:val="0"/>
          <w:sz w:val="22"/>
          <w:highlight w:val="cyan"/>
          <w:u w:val="single"/>
        </w:rPr>
        <w:t>applications</w:t>
      </w:r>
      <w:r>
        <w:rPr>
          <w:b w:val="0"/>
          <w:i w:val="0"/>
          <w:smallCaps w:val="0"/>
          <w:strike w:val="0"/>
          <w:sz w:val="22"/>
          <w:highlight w:val="cyan"/>
          <w:u w:val="single"/>
        </w:rPr>
        <w:t xml:space="preserve"> causing</w:t>
      </w:r>
      <w:r>
        <w:rPr>
          <w:b w:val="0"/>
          <w:i w:val="0"/>
          <w:smallCaps w:val="0"/>
          <w:strike w:val="0"/>
          <w:sz w:val="22"/>
          <w:u w:val="single"/>
        </w:rPr>
        <w:t xml:space="preserve"> significant </w:t>
      </w:r>
      <w:r>
        <w:rPr>
          <w:b/>
          <w:i w:val="0"/>
          <w:smallCaps w:val="0"/>
          <w:strike w:val="0"/>
          <w:sz w:val="22"/>
          <w:highlight w:val="cyan"/>
          <w:u w:val="single"/>
        </w:rPr>
        <w:t>delays</w:t>
      </w:r>
      <w:r>
        <w:rPr>
          <w:b w:val="0"/>
          <w:i w:val="0"/>
          <w:smallCaps w:val="0"/>
          <w:strike w:val="0"/>
          <w:sz w:val="22"/>
          <w:u w:val="single"/>
        </w:rPr>
        <w:t xml:space="preserve"> at the USPTO. </w:t>
      </w:r>
      <w:r>
        <w:rPr>
          <w:b w:val="0"/>
          <w:i w:val="0"/>
          <w:smallCaps w:val="0"/>
          <w:strike w:val="0"/>
          <w:sz w:val="22"/>
          <w:highlight w:val="cyan"/>
          <w:u w:val="single"/>
        </w:rPr>
        <w:t>Applicants</w:t>
      </w:r>
      <w:r>
        <w:rPr>
          <w:b w:val="0"/>
          <w:i w:val="0"/>
          <w:smallCaps w:val="0"/>
          <w:strike w:val="0"/>
          <w:sz w:val="22"/>
          <w:u w:val="single"/>
        </w:rPr>
        <w:t xml:space="preserve"> filing in the United States should </w:t>
      </w:r>
      <w:r>
        <w:rPr>
          <w:b w:val="0"/>
          <w:i w:val="0"/>
          <w:smallCaps w:val="0"/>
          <w:strike w:val="0"/>
          <w:sz w:val="22"/>
          <w:highlight w:val="cyan"/>
          <w:u w:val="single"/>
        </w:rPr>
        <w:t>expect</w:t>
      </w:r>
      <w:r>
        <w:rPr>
          <w:b w:val="0"/>
          <w:i w:val="0"/>
          <w:smallCaps w:val="0"/>
          <w:strike w:val="0"/>
          <w:sz w:val="22"/>
          <w:u w:val="single"/>
        </w:rPr>
        <w:t xml:space="preserve"> longer </w:t>
      </w:r>
      <w:r>
        <w:rPr>
          <w:b w:val="0"/>
          <w:i w:val="0"/>
          <w:smallCaps w:val="0"/>
          <w:strike w:val="0"/>
          <w:sz w:val="22"/>
          <w:highlight w:val="cyan"/>
          <w:u w:val="single"/>
        </w:rPr>
        <w:t>wait times for</w:t>
      </w:r>
      <w:r>
        <w:rPr>
          <w:b w:val="0"/>
          <w:i w:val="0"/>
          <w:smallCaps w:val="0"/>
          <w:strike w:val="0"/>
          <w:sz w:val="22"/>
          <w:u w:val="single"/>
        </w:rPr>
        <w:t xml:space="preserve"> the initial </w:t>
      </w:r>
      <w:r>
        <w:rPr>
          <w:b w:val="0"/>
          <w:i w:val="0"/>
          <w:smallCaps w:val="0"/>
          <w:strike w:val="0"/>
          <w:sz w:val="22"/>
          <w:highlight w:val="cyan"/>
          <w:u w:val="single"/>
        </w:rPr>
        <w:t>processing</w:t>
      </w:r>
      <w:r>
        <w:rPr>
          <w:b w:val="0"/>
          <w:i w:val="0"/>
          <w:smallCaps w:val="0"/>
          <w:strike w:val="0"/>
          <w:sz w:val="22"/>
          <w:u w:val="single"/>
        </w:rPr>
        <w:t xml:space="preserve"> and examination of their application, subsequent processing of responses to Office Actions, and the </w:t>
      </w:r>
      <w:r>
        <w:rPr>
          <w:b w:val="0"/>
          <w:i w:val="0"/>
          <w:smallCaps w:val="0"/>
          <w:strike w:val="0"/>
          <w:sz w:val="22"/>
          <w:highlight w:val="cyan"/>
          <w:u w:val="single"/>
        </w:rPr>
        <w:t>review</w:t>
      </w:r>
      <w:r>
        <w:rPr>
          <w:b w:val="0"/>
          <w:i w:val="0"/>
          <w:smallCaps w:val="0"/>
          <w:strike w:val="0"/>
          <w:sz w:val="22"/>
          <w:u w:val="single"/>
        </w:rPr>
        <w:t xml:space="preserve"> of </w:t>
      </w:r>
      <w:r>
        <w:rPr>
          <w:b w:val="0"/>
          <w:i w:val="0"/>
          <w:smallCaps w:val="0"/>
          <w:strike w:val="0"/>
          <w:sz w:val="22"/>
          <w:highlight w:val="cyan"/>
          <w:u w:val="single"/>
        </w:rPr>
        <w:t>post-registration filings</w:t>
      </w:r>
      <w:r>
        <w:rPr>
          <w:b w:val="0"/>
          <w:i w:val="0"/>
          <w:smallCaps w:val="0"/>
          <w:strike w:val="0"/>
          <w:sz w:val="22"/>
          <w:u w:val="single"/>
        </w:rPr>
        <w:t>.</w:t>
      </w:r>
    </w:p>
    <w:p>
      <w:pPr>
        <w:spacing w:after="60"/>
      </w:pPr>
      <w:r>
        <w:rPr>
          <w:b w:val="0"/>
          <w:i w:val="0"/>
          <w:smallCaps w:val="0"/>
          <w:strike w:val="0"/>
          <w:sz w:val="22"/>
          <w:highlight w:val="cyan"/>
          <w:u w:val="single"/>
        </w:rPr>
        <w:t>According to</w:t>
      </w:r>
      <w:r>
        <w:rPr>
          <w:b w:val="0"/>
          <w:i w:val="0"/>
          <w:smallCaps w:val="0"/>
          <w:strike w:val="0"/>
          <w:sz w:val="22"/>
          <w:u w:val="single"/>
        </w:rPr>
        <w:t xml:space="preserve"> the </w:t>
      </w:r>
      <w:r>
        <w:rPr>
          <w:b w:val="0"/>
          <w:i w:val="0"/>
          <w:smallCaps w:val="0"/>
          <w:strike w:val="0"/>
          <w:sz w:val="22"/>
          <w:highlight w:val="cyan"/>
          <w:u w:val="single"/>
        </w:rPr>
        <w:t>USPTO</w:t>
      </w:r>
      <w:r>
        <w:rPr>
          <w:b w:val="0"/>
          <w:i w:val="0"/>
          <w:smallCaps w:val="0"/>
          <w:strike w:val="0"/>
          <w:sz w:val="22"/>
          <w:u w:val="single"/>
        </w:rPr>
        <w:t xml:space="preserve">’s Trademark Dashboard, </w:t>
      </w:r>
      <w:r>
        <w:rPr>
          <w:b w:val="0"/>
          <w:i w:val="0"/>
          <w:smallCaps w:val="0"/>
          <w:strike w:val="0"/>
          <w:sz w:val="22"/>
          <w:highlight w:val="cyan"/>
          <w:u w:val="single"/>
        </w:rPr>
        <w:t>an applicant’s</w:t>
      </w:r>
      <w:r>
        <w:rPr>
          <w:b w:val="0"/>
          <w:i w:val="0"/>
          <w:smallCaps w:val="0"/>
          <w:strike w:val="0"/>
          <w:sz w:val="22"/>
          <w:u w:val="single"/>
        </w:rPr>
        <w:t xml:space="preserve"> average wait </w:t>
      </w:r>
      <w:r>
        <w:rPr>
          <w:b w:val="0"/>
          <w:i w:val="0"/>
          <w:smallCaps w:val="0"/>
          <w:strike w:val="0"/>
          <w:sz w:val="22"/>
          <w:highlight w:val="cyan"/>
          <w:u w:val="single"/>
        </w:rPr>
        <w:t>period</w:t>
      </w:r>
      <w:r>
        <w:rPr>
          <w:b w:val="0"/>
          <w:i w:val="0"/>
          <w:smallCaps w:val="0"/>
          <w:strike w:val="0"/>
          <w:sz w:val="22"/>
          <w:u w:val="single"/>
        </w:rPr>
        <w:t xml:space="preserve"> for a first response as of September 2022 </w:t>
      </w:r>
      <w:r>
        <w:rPr>
          <w:b w:val="0"/>
          <w:i w:val="0"/>
          <w:smallCaps w:val="0"/>
          <w:strike w:val="0"/>
          <w:sz w:val="22"/>
          <w:highlight w:val="cyan"/>
          <w:u w:val="single"/>
        </w:rPr>
        <w:t>is 8.3 months, up</w:t>
      </w:r>
      <w:r>
        <w:rPr>
          <w:b w:val="0"/>
          <w:i w:val="0"/>
          <w:smallCaps w:val="0"/>
          <w:strike w:val="0"/>
          <w:sz w:val="22"/>
          <w:u w:val="single"/>
        </w:rPr>
        <w:t xml:space="preserve"> by </w:t>
      </w:r>
      <w:r>
        <w:rPr>
          <w:b/>
          <w:i w:val="0"/>
          <w:smallCaps w:val="0"/>
          <w:strike w:val="0"/>
          <w:sz w:val="22"/>
          <w:highlight w:val="cyan"/>
          <w:u w:val="single"/>
        </w:rPr>
        <w:t>two months</w:t>
      </w:r>
      <w:r>
        <w:rPr>
          <w:b w:val="0"/>
          <w:i w:val="0"/>
          <w:smallCaps w:val="0"/>
          <w:strike w:val="0"/>
          <w:sz w:val="22"/>
          <w:u w:val="single"/>
        </w:rPr>
        <w:t xml:space="preserve"> from the average wait period in September 2021</w:t>
      </w:r>
      <w:r>
        <w:rPr>
          <w:b w:val="0"/>
          <w:i w:val="0"/>
          <w:smallCaps w:val="0"/>
          <w:strike w:val="0"/>
          <w:sz w:val="16"/>
          <w:u w:val="none"/>
        </w:rPr>
        <w:t>. Applicants may currently experience even longer initial response periods than those reported as of September 2022, reaching up to 11 months from the filing date.</w:t>
      </w:r>
    </w:p>
    <w:p>
      <w:pPr>
        <w:spacing w:after="60"/>
      </w:pPr>
      <w:r>
        <w:rPr>
          <w:b w:val="0"/>
          <w:i w:val="0"/>
          <w:smallCaps w:val="0"/>
          <w:strike w:val="0"/>
          <w:sz w:val="22"/>
          <w:highlight w:val="cyan"/>
          <w:u w:val="single"/>
        </w:rPr>
        <w:t>The</w:t>
      </w:r>
      <w:r>
        <w:rPr>
          <w:b w:val="0"/>
          <w:i w:val="0"/>
          <w:smallCaps w:val="0"/>
          <w:strike w:val="0"/>
          <w:sz w:val="22"/>
          <w:u w:val="single"/>
        </w:rPr>
        <w:t xml:space="preserve"> Trademark Modernization Act (“</w:t>
      </w:r>
      <w:r>
        <w:rPr>
          <w:b w:val="0"/>
          <w:i w:val="0"/>
          <w:smallCaps w:val="0"/>
          <w:strike w:val="0"/>
          <w:sz w:val="22"/>
          <w:highlight w:val="cyan"/>
          <w:u w:val="single"/>
        </w:rPr>
        <w:t>TMA</w:t>
      </w:r>
      <w:r>
        <w:rPr>
          <w:b w:val="0"/>
          <w:i w:val="0"/>
          <w:smallCaps w:val="0"/>
          <w:strike w:val="0"/>
          <w:sz w:val="22"/>
          <w:u w:val="single"/>
        </w:rPr>
        <w:t xml:space="preserve">”) went into effect in December 2021, in part, </w:t>
      </w:r>
      <w:r>
        <w:rPr>
          <w:b w:val="0"/>
          <w:i w:val="0"/>
          <w:smallCaps w:val="0"/>
          <w:strike w:val="0"/>
          <w:sz w:val="22"/>
          <w:highlight w:val="cyan"/>
          <w:u w:val="single"/>
        </w:rPr>
        <w:t xml:space="preserve">as a </w:t>
      </w:r>
      <w:r>
        <w:rPr>
          <w:b/>
          <w:i w:val="0"/>
          <w:smallCaps w:val="0"/>
          <w:strike w:val="0"/>
          <w:sz w:val="22"/>
          <w:highlight w:val="cyan"/>
          <w:u w:val="single"/>
        </w:rPr>
        <w:t>response</w:t>
      </w:r>
      <w:r>
        <w:rPr>
          <w:b w:val="0"/>
          <w:i w:val="0"/>
          <w:smallCaps w:val="0"/>
          <w:strike w:val="0"/>
          <w:sz w:val="22"/>
          <w:highlight w:val="cyan"/>
          <w:u w:val="single"/>
        </w:rPr>
        <w:t xml:space="preserve"> to</w:t>
      </w:r>
      <w:r>
        <w:rPr>
          <w:b w:val="0"/>
          <w:i w:val="0"/>
          <w:smallCaps w:val="0"/>
          <w:strike w:val="0"/>
          <w:sz w:val="22"/>
          <w:u w:val="single"/>
        </w:rPr>
        <w:t xml:space="preserve"> the rise in new filings and the surge of new </w:t>
      </w:r>
      <w:r>
        <w:rPr>
          <w:b/>
          <w:i w:val="0"/>
          <w:smallCaps w:val="0"/>
          <w:strike w:val="0"/>
          <w:sz w:val="22"/>
          <w:highlight w:val="cyan"/>
          <w:u w:val="single"/>
        </w:rPr>
        <w:t>applications</w:t>
      </w:r>
      <w:r>
        <w:rPr>
          <w:b w:val="0"/>
          <w:i w:val="0"/>
          <w:smallCaps w:val="0"/>
          <w:strike w:val="0"/>
          <w:sz w:val="22"/>
          <w:highlight w:val="cyan"/>
          <w:u w:val="single"/>
        </w:rPr>
        <w:t xml:space="preserve"> from foreign</w:t>
      </w:r>
      <w:r>
        <w:rPr>
          <w:b w:val="0"/>
          <w:i w:val="0"/>
          <w:smallCaps w:val="0"/>
          <w:strike w:val="0"/>
          <w:sz w:val="22"/>
          <w:u w:val="single"/>
        </w:rPr>
        <w:t xml:space="preserve"> trademark </w:t>
      </w:r>
      <w:r>
        <w:rPr>
          <w:b w:val="0"/>
          <w:i w:val="0"/>
          <w:smallCaps w:val="0"/>
          <w:strike w:val="0"/>
          <w:sz w:val="22"/>
          <w:highlight w:val="cyan"/>
          <w:u w:val="single"/>
        </w:rPr>
        <w:t>owners</w:t>
      </w:r>
      <w:r>
        <w:rPr>
          <w:b w:val="0"/>
          <w:i w:val="0"/>
          <w:smallCaps w:val="0"/>
          <w:strike w:val="0"/>
          <w:sz w:val="16"/>
          <w:u w:val="none"/>
        </w:rPr>
        <w:t>. One change to existing procedures is a shortened response period for pre-registration and post-registration Office Actions.</w:t>
      </w:r>
    </w:p>
    <w:p>
      <w:pPr>
        <w:spacing w:after="60"/>
      </w:pPr>
      <w:r>
        <w:rPr>
          <w:b w:val="0"/>
          <w:i w:val="0"/>
          <w:smallCaps w:val="0"/>
          <w:strike w:val="0"/>
          <w:sz w:val="22"/>
          <w:u w:val="single"/>
        </w:rPr>
        <w:t xml:space="preserve">As of December 3, 2022, </w:t>
      </w:r>
      <w:r>
        <w:rPr>
          <w:b/>
          <w:i w:val="0"/>
          <w:smallCaps w:val="0"/>
          <w:strike w:val="0"/>
          <w:sz w:val="22"/>
          <w:highlight w:val="cyan"/>
          <w:u w:val="single"/>
        </w:rPr>
        <w:t>applicants</w:t>
      </w:r>
      <w:r>
        <w:rPr>
          <w:b w:val="0"/>
          <w:i w:val="0"/>
          <w:smallCaps w:val="0"/>
          <w:strike w:val="0"/>
          <w:sz w:val="22"/>
          <w:highlight w:val="cyan"/>
          <w:u w:val="single"/>
        </w:rPr>
        <w:t xml:space="preserve"> must respond within</w:t>
      </w:r>
      <w:r>
        <w:rPr>
          <w:b w:val="0"/>
          <w:i w:val="0"/>
          <w:smallCaps w:val="0"/>
          <w:strike w:val="0"/>
          <w:sz w:val="22"/>
          <w:u w:val="single"/>
        </w:rPr>
        <w:t xml:space="preserve"> three </w:t>
      </w:r>
      <w:r>
        <w:rPr>
          <w:b w:val="0"/>
          <w:i w:val="0"/>
          <w:smallCaps w:val="0"/>
          <w:strike w:val="0"/>
          <w:sz w:val="22"/>
          <w:highlight w:val="cyan"/>
          <w:u w:val="single"/>
        </w:rPr>
        <w:t>months</w:t>
      </w:r>
      <w:r>
        <w:rPr>
          <w:b w:val="0"/>
          <w:i w:val="0"/>
          <w:smallCaps w:val="0"/>
          <w:strike w:val="0"/>
          <w:sz w:val="22"/>
          <w:u w:val="single"/>
        </w:rPr>
        <w:t xml:space="preserve"> to Office Actions </w:t>
      </w:r>
      <w:r>
        <w:rPr>
          <w:b w:val="0"/>
          <w:i w:val="0"/>
          <w:smallCaps w:val="0"/>
          <w:strike w:val="0"/>
          <w:sz w:val="22"/>
          <w:highlight w:val="cyan"/>
          <w:u w:val="single"/>
        </w:rPr>
        <w:t>issued during examination of an application. Applicants can request</w:t>
      </w:r>
      <w:r>
        <w:rPr>
          <w:b w:val="0"/>
          <w:i w:val="0"/>
          <w:smallCaps w:val="0"/>
          <w:strike w:val="0"/>
          <w:sz w:val="22"/>
          <w:u w:val="single"/>
        </w:rPr>
        <w:t xml:space="preserve"> a single 3-month </w:t>
      </w:r>
      <w:r>
        <w:rPr>
          <w:b/>
          <w:i w:val="0"/>
          <w:smallCaps w:val="0"/>
          <w:strike w:val="0"/>
          <w:sz w:val="22"/>
          <w:highlight w:val="cyan"/>
          <w:u w:val="single"/>
        </w:rPr>
        <w:t>extension</w:t>
      </w:r>
      <w:r>
        <w:rPr>
          <w:b w:val="0"/>
          <w:i w:val="0"/>
          <w:smallCaps w:val="0"/>
          <w:strike w:val="0"/>
          <w:sz w:val="22"/>
          <w:u w:val="single"/>
        </w:rPr>
        <w:t xml:space="preserve"> of time to respond, </w:t>
      </w:r>
      <w:r>
        <w:rPr>
          <w:b w:val="0"/>
          <w:i w:val="0"/>
          <w:smallCaps w:val="0"/>
          <w:strike w:val="0"/>
          <w:sz w:val="22"/>
          <w:highlight w:val="cyan"/>
          <w:u w:val="single"/>
        </w:rPr>
        <w:t>with the</w:t>
      </w:r>
      <w:r>
        <w:rPr>
          <w:b w:val="0"/>
          <w:i w:val="0"/>
          <w:smallCaps w:val="0"/>
          <w:strike w:val="0"/>
          <w:sz w:val="22"/>
          <w:u w:val="single"/>
        </w:rPr>
        <w:t xml:space="preserve"> submission </w:t>
      </w:r>
      <w:r>
        <w:rPr>
          <w:b w:val="0"/>
          <w:i w:val="0"/>
          <w:smallCaps w:val="0"/>
          <w:strike w:val="0"/>
          <w:sz w:val="22"/>
          <w:u w:val="single"/>
        </w:rPr>
        <w:t>of</w:t>
      </w:r>
      <w:r>
        <w:rPr>
          <w:b w:val="0"/>
          <w:i w:val="0"/>
          <w:smallCaps w:val="0"/>
          <w:strike w:val="0"/>
          <w:sz w:val="22"/>
          <w:u w:val="single"/>
        </w:rPr>
        <w:t xml:space="preserve"> a $</w:t>
      </w:r>
      <w:r>
        <w:rPr>
          <w:b/>
          <w:i w:val="0"/>
          <w:smallCaps w:val="0"/>
          <w:strike w:val="0"/>
          <w:sz w:val="22"/>
          <w:highlight w:val="cyan"/>
          <w:u w:val="single"/>
        </w:rPr>
        <w:t>125 fee</w:t>
      </w:r>
      <w:r>
        <w:rPr>
          <w:b w:val="0"/>
          <w:i w:val="0"/>
          <w:smallCaps w:val="0"/>
          <w:strike w:val="0"/>
          <w:sz w:val="16"/>
          <w:u w:val="none"/>
        </w:rPr>
        <w:t>. If the request for an extension of time is not received and a response is not filed within the new 3-month window, the application will be abandoned.</w:t>
      </w:r>
    </w:p>
    <w:p>
      <w:pPr>
        <w:spacing w:after="60"/>
      </w:pPr>
      <w:r>
        <w:rPr>
          <w:b w:val="0"/>
          <w:i w:val="0"/>
          <w:smallCaps w:val="0"/>
          <w:strike w:val="0"/>
          <w:sz w:val="22"/>
          <w:u w:val="single"/>
        </w:rPr>
        <w:t xml:space="preserve">This change does not apply to Madrid Section 66(a) applications, which continue to have a 6-month response deadline. </w:t>
      </w:r>
      <w:r>
        <w:rPr>
          <w:b w:val="0"/>
          <w:i w:val="0"/>
          <w:smallCaps w:val="0"/>
          <w:strike w:val="0"/>
          <w:sz w:val="22"/>
          <w:highlight w:val="cyan"/>
          <w:u w:val="single"/>
        </w:rPr>
        <w:t>The shortened</w:t>
      </w:r>
      <w:r>
        <w:rPr>
          <w:b w:val="0"/>
          <w:i w:val="0"/>
          <w:smallCaps w:val="0"/>
          <w:strike w:val="0"/>
          <w:sz w:val="22"/>
          <w:u w:val="single"/>
        </w:rPr>
        <w:t xml:space="preserve"> 3-month, post-</w:t>
      </w:r>
      <w:r>
        <w:rPr>
          <w:b w:val="0"/>
          <w:i w:val="0"/>
          <w:smallCaps w:val="0"/>
          <w:strike w:val="0"/>
          <w:sz w:val="22"/>
          <w:highlight w:val="cyan"/>
          <w:u w:val="single"/>
        </w:rPr>
        <w:t>registration</w:t>
      </w:r>
      <w:r>
        <w:rPr>
          <w:b w:val="0"/>
          <w:i w:val="0"/>
          <w:smallCaps w:val="0"/>
          <w:strike w:val="0"/>
          <w:sz w:val="22"/>
          <w:u w:val="single"/>
        </w:rPr>
        <w:t xml:space="preserve"> response </w:t>
      </w:r>
      <w:r>
        <w:rPr>
          <w:b w:val="0"/>
          <w:i w:val="0"/>
          <w:smallCaps w:val="0"/>
          <w:strike w:val="0"/>
          <w:sz w:val="22"/>
          <w:highlight w:val="cyan"/>
          <w:u w:val="single"/>
        </w:rPr>
        <w:t>period will be implemented on</w:t>
      </w:r>
      <w:r>
        <w:rPr>
          <w:b w:val="0"/>
          <w:i w:val="0"/>
          <w:smallCaps w:val="0"/>
          <w:strike w:val="0"/>
          <w:sz w:val="22"/>
          <w:u w:val="single"/>
        </w:rPr>
        <w:t xml:space="preserve"> </w:t>
      </w:r>
      <w:r>
        <w:rPr>
          <w:b w:val="0"/>
          <w:i w:val="0"/>
          <w:smallCaps w:val="0"/>
          <w:strike w:val="0"/>
          <w:sz w:val="22"/>
          <w:highlight w:val="cyan"/>
          <w:u w:val="single"/>
        </w:rPr>
        <w:t>October 7</w:t>
      </w:r>
      <w:r>
        <w:rPr>
          <w:b w:val="0"/>
          <w:i w:val="0"/>
          <w:smallCaps w:val="0"/>
          <w:strike w:val="0"/>
          <w:sz w:val="22"/>
          <w:u w:val="single"/>
        </w:rPr>
        <w:t>, 2023</w:t>
      </w:r>
      <w:r>
        <w:rPr>
          <w:b w:val="0"/>
          <w:i w:val="0"/>
          <w:smallCaps w:val="0"/>
          <w:strike w:val="0"/>
          <w:sz w:val="16"/>
          <w:u w:val="none"/>
        </w:rPr>
        <w:t>. Once the change is in effect, the same parameters will apply with respect to the single extension request. And if no extension or post-registration response is filed, the registration will be cancelled.</w:t>
      </w:r>
    </w:p>
    <w:p>
      <w:pPr>
        <w:spacing w:after="60"/>
      </w:pPr>
      <w:r>
        <w:rPr>
          <w:b w:val="0"/>
          <w:i w:val="0"/>
          <w:smallCaps w:val="0"/>
          <w:strike w:val="0"/>
          <w:sz w:val="22"/>
          <w:u w:val="single"/>
        </w:rPr>
        <w:t xml:space="preserve">Among these changes and other important implementations, </w:t>
      </w:r>
      <w:r>
        <w:rPr>
          <w:b w:val="0"/>
          <w:i w:val="0"/>
          <w:smallCaps w:val="0"/>
          <w:strike w:val="0"/>
          <w:sz w:val="22"/>
          <w:highlight w:val="cyan"/>
          <w:u w:val="single"/>
        </w:rPr>
        <w:t xml:space="preserve">the </w:t>
      </w:r>
      <w:r>
        <w:rPr>
          <w:b/>
          <w:i w:val="0"/>
          <w:smallCaps w:val="0"/>
          <w:strike w:val="0"/>
          <w:sz w:val="22"/>
          <w:highlight w:val="cyan"/>
          <w:u w:val="single"/>
        </w:rPr>
        <w:t>TMA provides</w:t>
      </w:r>
      <w:r>
        <w:rPr>
          <w:b/>
          <w:i w:val="0"/>
          <w:smallCaps w:val="0"/>
          <w:strike w:val="0"/>
          <w:sz w:val="22"/>
          <w:u w:val="single"/>
        </w:rPr>
        <w:t xml:space="preserve"> codified </w:t>
      </w:r>
      <w:r>
        <w:rPr>
          <w:b/>
          <w:i w:val="0"/>
          <w:smallCaps w:val="0"/>
          <w:strike w:val="0"/>
          <w:sz w:val="22"/>
          <w:highlight w:val="cyan"/>
          <w:u w:val="single"/>
        </w:rPr>
        <w:t>tools</w:t>
      </w:r>
      <w:r>
        <w:rPr>
          <w:b w:val="0"/>
          <w:i w:val="0"/>
          <w:smallCaps w:val="0"/>
          <w:strike w:val="0"/>
          <w:sz w:val="22"/>
          <w:u w:val="single"/>
        </w:rPr>
        <w:t xml:space="preserve"> for trademark owners to attack applications and registrations that may have been </w:t>
      </w:r>
      <w:r>
        <w:rPr>
          <w:b w:val="0"/>
          <w:i w:val="0"/>
          <w:smallCaps w:val="0"/>
          <w:strike w:val="0"/>
          <w:sz w:val="22"/>
          <w:highlight w:val="cyan"/>
          <w:u w:val="single"/>
        </w:rPr>
        <w:t>procured without</w:t>
      </w:r>
      <w:r>
        <w:rPr>
          <w:b w:val="0"/>
          <w:i w:val="0"/>
          <w:smallCaps w:val="0"/>
          <w:strike w:val="0"/>
          <w:sz w:val="22"/>
          <w:u w:val="single"/>
        </w:rPr>
        <w:t xml:space="preserve"> the requisite degree of </w:t>
      </w:r>
      <w:r>
        <w:rPr>
          <w:b w:val="0"/>
          <w:i w:val="0"/>
          <w:smallCaps w:val="0"/>
          <w:strike w:val="0"/>
          <w:sz w:val="22"/>
          <w:highlight w:val="cyan"/>
          <w:u w:val="single"/>
        </w:rPr>
        <w:t>use</w:t>
      </w:r>
      <w:r>
        <w:rPr>
          <w:b w:val="0"/>
          <w:i w:val="0"/>
          <w:smallCaps w:val="0"/>
          <w:strike w:val="0"/>
          <w:sz w:val="16"/>
          <w:u w:val="none"/>
        </w:rPr>
        <w:t>. These tools, including new ex parte expungement and reexamination proceedings, are intended to help the Trademark Office clear the register of dead wood. Any party has access to these tools, which can be used to assist the Trademark Office in preserving the register during a time when they need all the help they can muster.</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