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current use standard is </w:t>
      </w:r>
      <w:r>
        <w:rPr>
          <w:b/>
          <w:i w:val="0"/>
          <w:smallCaps w:val="0"/>
          <w:strike w:val="0"/>
          <w:sz w:val="26"/>
          <w:u w:val="single"/>
        </w:rPr>
        <w:t>prejudiced</w:t>
      </w:r>
      <w:r>
        <w:rPr>
          <w:b/>
          <w:i w:val="0"/>
          <w:smallCaps w:val="0"/>
          <w:strike w:val="0"/>
          <w:sz w:val="26"/>
          <w:u w:val="none"/>
        </w:rPr>
        <w:t xml:space="preserve"> against small business</w:t>
      </w:r>
      <w:r>
        <w:rPr>
          <w:b/>
          <w:i w:val="0"/>
          <w:smallCaps w:val="0"/>
          <w:strike w:val="0"/>
          <w:sz w:val="26"/>
          <w:u w:val="none"/>
        </w:rPr>
        <w:t>es – that’s McDowall.</w:t>
      </w:r>
    </w:p>
    <w:p>
      <w:pPr>
        <w:spacing w:after="80"/>
      </w:pPr>
      <w:r>
        <w:rPr>
          <w:b w:val="0"/>
          <w:i w:val="0"/>
          <w:smallCaps w:val="0"/>
          <w:strike w:val="0"/>
          <w:u w:val="none"/>
        </w:rPr>
        <w:t>&lt; for reference &gt;</w:t>
      </w:r>
    </w:p>
    <w:p>
      <w:pPr>
        <w:spacing w:after="60"/>
      </w:pPr>
      <w:r>
        <w:rPr>
          <w:b/>
          <w:i w:val="0"/>
          <w:smallCaps w:val="0"/>
          <w:strike w:val="0"/>
          <w:sz w:val="26"/>
          <w:u w:val="none"/>
        </w:rPr>
        <w:t xml:space="preserve">1AC McDowall 15 </w:t>
      </w:r>
      <w:r>
        <w:rPr>
          <w:b w:val="0"/>
          <w:i w:val="0"/>
          <w:smallCaps w:val="0"/>
          <w:strike w:val="0"/>
          <w:sz w:val="16"/>
          <w:u w:val="none"/>
        </w:rPr>
        <w:t>– Krystil McDowall (New York Attorney, specializing in Intellectual Property Law), Spring 2015, "A Critical Look at ‘Use’ Under the Landham Act," New York University Journal of Intellectual Property and Entertainment Law, https://jipel.law.nyu.edu/wp-content/uploads/2015/05/NYU_JIPEL_Vol-4-No-2-2_McDowall_UseUnderLanhamAct.pdf /$antiP/</w:t>
      </w:r>
    </w:p>
    <w:p>
      <w:pPr>
        <w:spacing w:after="60"/>
      </w:pPr>
      <w:r>
        <w:rPr>
          <w:b/>
          <w:i w:val="0"/>
          <w:smallCaps w:val="0"/>
          <w:strike w:val="0"/>
          <w:u w:val="single"/>
        </w:rPr>
        <w:t xml:space="preserve">Many </w:t>
      </w:r>
      <w:r>
        <w:rPr>
          <w:b/>
          <w:i w:val="0"/>
          <w:smallCaps w:val="0"/>
          <w:strike w:val="0"/>
          <w:highlight w:val="lightGray"/>
          <w:u w:val="single"/>
        </w:rPr>
        <w:t>start-up and small businesses have sporadic</w:t>
      </w:r>
      <w:r>
        <w:rPr>
          <w:b/>
          <w:i w:val="0"/>
          <w:smallCaps w:val="0"/>
          <w:strike w:val="0"/>
          <w:u w:val="single"/>
        </w:rPr>
        <w:t xml:space="preserve"> initial </w:t>
      </w:r>
      <w:r>
        <w:rPr>
          <w:b/>
          <w:i w:val="0"/>
          <w:smallCaps w:val="0"/>
          <w:strike w:val="0"/>
          <w:highlight w:val="lightGray"/>
          <w:u w:val="single"/>
        </w:rPr>
        <w:t>sales patterns</w:t>
      </w:r>
      <w:r>
        <w:rPr>
          <w:b w:val="0"/>
          <w:i w:val="0"/>
          <w:smallCaps w:val="0"/>
          <w:strike w:val="0"/>
          <w:u w:val="single"/>
        </w:rPr>
        <w:t xml:space="preserve"> for a number of justifiable reasons</w:t>
      </w:r>
      <w:r>
        <w:rPr>
          <w:b w:val="0"/>
          <w:i w:val="0"/>
          <w:smallCaps w:val="0"/>
          <w:strike w:val="0"/>
          <w:sz w:val="16"/>
          <w:u w:val="none"/>
        </w:rPr>
        <w:t>, including a lack of resources or expertise (if the mark owner is new to the industry</w:t>
      </w:r>
      <w:r>
        <w:rPr>
          <w:b w:val="0"/>
          <w:i w:val="0"/>
          <w:smallCaps w:val="0"/>
          <w:strike w:val="0"/>
          <w:sz w:val="16"/>
          <w:u w:val="none"/>
        </w:rPr>
        <w:t xml:space="preserve">) or lack of capital (which may prevent the mark owner from obtaining legal counsel). </w:t>
      </w:r>
      <w:r>
        <w:rPr>
          <w:b w:val="0"/>
          <w:i w:val="0"/>
          <w:smallCaps w:val="0"/>
          <w:strike w:val="0"/>
          <w:u w:val="single"/>
        </w:rPr>
        <w:t xml:space="preserve">It follows, then, that </w:t>
      </w:r>
      <w:r>
        <w:rPr>
          <w:b w:val="0"/>
          <w:i w:val="0"/>
          <w:smallCaps w:val="0"/>
          <w:strike w:val="0"/>
          <w:highlight w:val="lightGray"/>
          <w:u w:val="single"/>
        </w:rPr>
        <w:t>the</w:t>
      </w:r>
      <w:r>
        <w:rPr>
          <w:b w:val="0"/>
          <w:i w:val="0"/>
          <w:smallCaps w:val="0"/>
          <w:strike w:val="0"/>
          <w:u w:val="single"/>
        </w:rPr>
        <w:t xml:space="preserve"> continuous </w:t>
      </w:r>
      <w:r>
        <w:rPr>
          <w:b w:val="0"/>
          <w:i w:val="0"/>
          <w:smallCaps w:val="0"/>
          <w:strike w:val="0"/>
          <w:highlight w:val="lightGray"/>
          <w:u w:val="single"/>
        </w:rPr>
        <w:t xml:space="preserve">use standard is </w:t>
      </w:r>
      <w:r>
        <w:rPr>
          <w:b/>
          <w:i w:val="0"/>
          <w:smallCaps w:val="0"/>
          <w:strike w:val="0"/>
          <w:highlight w:val="lightGray"/>
          <w:u w:val="single"/>
        </w:rPr>
        <w:t>prejudiced in favor</w:t>
      </w:r>
      <w:r>
        <w:rPr>
          <w:b/>
          <w:i w:val="0"/>
          <w:smallCaps w:val="0"/>
          <w:strike w:val="0"/>
          <w:u w:val="single"/>
        </w:rPr>
        <w:t xml:space="preserve"> </w:t>
      </w:r>
      <w:r>
        <w:rPr>
          <w:b/>
          <w:i w:val="0"/>
          <w:smallCaps w:val="0"/>
          <w:strike w:val="0"/>
          <w:highlight w:val="lightGray"/>
          <w:u w:val="single"/>
        </w:rPr>
        <w:t>of</w:t>
      </w:r>
      <w:r>
        <w:rPr>
          <w:b/>
          <w:i w:val="0"/>
          <w:smallCaps w:val="0"/>
          <w:strike w:val="0"/>
          <w:u w:val="single"/>
        </w:rPr>
        <w:t xml:space="preserve"> those brands that are already strong</w:t>
      </w:r>
      <w:r>
        <w:rPr>
          <w:b w:val="0"/>
          <w:i w:val="0"/>
          <w:smallCaps w:val="0"/>
          <w:strike w:val="0"/>
          <w:u w:val="single"/>
        </w:rPr>
        <w:t>, or have sufficient capital, over those that are starting out</w:t>
      </w:r>
      <w:r>
        <w:rPr>
          <w:b w:val="0"/>
          <w:i w:val="0"/>
          <w:smallCaps w:val="0"/>
          <w:strike w:val="0"/>
          <w:sz w:val="16"/>
          <w:u w:val="none"/>
        </w:rPr>
        <w:t xml:space="preserve">. In this way, </w:t>
      </w:r>
      <w:r>
        <w:rPr>
          <w:b w:val="0"/>
          <w:i w:val="0"/>
          <w:smallCaps w:val="0"/>
          <w:strike w:val="0"/>
          <w:u w:val="single"/>
        </w:rPr>
        <w:t xml:space="preserve">the continuous use standard under the Act is unequal in its application as the standard is biased in favor of </w:t>
      </w:r>
      <w:r>
        <w:rPr>
          <w:b w:val="0"/>
          <w:i w:val="0"/>
          <w:smallCaps w:val="0"/>
          <w:strike w:val="0"/>
          <w:highlight w:val="lightGray"/>
          <w:u w:val="single"/>
        </w:rPr>
        <w:t>the strong</w:t>
      </w:r>
      <w:r>
        <w:rPr>
          <w:b w:val="0"/>
          <w:i w:val="0"/>
          <w:smallCaps w:val="0"/>
          <w:strike w:val="0"/>
          <w:u w:val="single"/>
        </w:rPr>
        <w:t xml:space="preserve">. Where de minimis use is in issue, the law says “might is legally right,” or at least, “legally better.” As a </w:t>
      </w:r>
      <w:r>
        <w:rPr>
          <w:b w:val="0"/>
          <w:i w:val="0"/>
          <w:smallCaps w:val="0"/>
          <w:strike w:val="0"/>
          <w:u w:val="single"/>
        </w:rPr>
        <w:t xml:space="preserve">result, the </w:t>
      </w:r>
      <w:r>
        <w:rPr>
          <w:b/>
          <w:i w:val="0"/>
          <w:smallCaps w:val="0"/>
          <w:strike w:val="0"/>
          <w:u w:val="single"/>
        </w:rPr>
        <w:t xml:space="preserve">continuous use standard </w:t>
      </w:r>
      <w:r>
        <w:rPr>
          <w:b/>
          <w:i w:val="0"/>
          <w:smallCaps w:val="0"/>
          <w:strike w:val="0"/>
          <w:highlight w:val="lightGray"/>
          <w:u w:val="single"/>
        </w:rPr>
        <w:t>deprives</w:t>
      </w:r>
      <w:r>
        <w:rPr>
          <w:b/>
          <w:i w:val="0"/>
          <w:smallCaps w:val="0"/>
          <w:strike w:val="0"/>
          <w:u w:val="single"/>
        </w:rPr>
        <w:t xml:space="preserve"> some </w:t>
      </w:r>
      <w:r>
        <w:rPr>
          <w:b/>
          <w:i w:val="0"/>
          <w:smallCaps w:val="0"/>
          <w:strike w:val="0"/>
          <w:highlight w:val="lightGray"/>
          <w:u w:val="single"/>
        </w:rPr>
        <w:t>new or startup businesses</w:t>
      </w:r>
      <w:r>
        <w:rPr>
          <w:b w:val="0"/>
          <w:i w:val="0"/>
          <w:smallCaps w:val="0"/>
          <w:strike w:val="0"/>
          <w:highlight w:val="lightGray"/>
          <w:u w:val="single"/>
        </w:rPr>
        <w:t xml:space="preserve"> from growing</w:t>
      </w:r>
      <w:r>
        <w:rPr>
          <w:b w:val="0"/>
          <w:i w:val="0"/>
          <w:smallCaps w:val="0"/>
          <w:strike w:val="0"/>
          <w:u w:val="single"/>
        </w:rPr>
        <w:t xml:space="preserve"> a burgeoning brand into a thriving core asset</w:t>
      </w:r>
      <w:r>
        <w:rPr>
          <w:b w:val="0"/>
          <w:i w:val="0"/>
          <w:smallCaps w:val="0"/>
          <w:strike w:val="0"/>
          <w:sz w:val="16"/>
          <w:u w:val="none"/>
        </w:rPr>
        <w:t xml:space="preserve">. </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