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requires all.</w:t>
      </w:r>
    </w:p>
    <w:p>
      <w:pPr>
        <w:spacing w:after="80"/>
      </w:pPr>
      <w:r>
        <w:rPr>
          <w:b/>
          <w:i w:val="0"/>
          <w:smallCaps w:val="0"/>
          <w:strike w:val="0"/>
          <w:sz w:val="26"/>
          <w:u w:val="none"/>
        </w:rPr>
        <w:t>Supreme Court of Kentucky 3</w:t>
      </w:r>
      <w:r>
        <w:rPr>
          <w:b w:val="0"/>
          <w:i w:val="0"/>
          <w:smallCaps w:val="0"/>
          <w:strike w:val="0"/>
          <w:sz w:val="20"/>
          <w:u w:val="none"/>
        </w:rPr>
        <w:t xml:space="preserve"> (“Kotila v. Commonwealth,” 2000-SC-0341-MR, Lexis)//BB</w:t>
      </w:r>
    </w:p>
    <w:p>
      <w:pPr>
        <w:spacing w:after="60"/>
      </w:pPr>
      <w:r>
        <w:rPr>
          <w:b w:val="0"/>
          <w:i w:val="0"/>
          <w:smallCaps w:val="0"/>
          <w:strike w:val="0"/>
          <w:sz w:val="20"/>
          <w:highlight w:val="cyan"/>
          <w:u w:val="single"/>
        </w:rPr>
        <w:t>Whether a</w:t>
      </w:r>
      <w:r>
        <w:rPr>
          <w:b w:val="0"/>
          <w:i w:val="0"/>
          <w:smallCaps w:val="0"/>
          <w:strike w:val="0"/>
          <w:sz w:val="14"/>
          <w:u w:val="none"/>
        </w:rPr>
        <w:t xml:space="preserve"> conviction under this </w:t>
      </w:r>
      <w:r>
        <w:rPr>
          <w:b w:val="0"/>
          <w:i w:val="0"/>
          <w:smallCaps w:val="0"/>
          <w:strike w:val="0"/>
          <w:sz w:val="20"/>
          <w:highlight w:val="cyan"/>
          <w:u w:val="single"/>
        </w:rPr>
        <w:t>statute requires</w:t>
      </w:r>
      <w:r>
        <w:rPr>
          <w:b w:val="0"/>
          <w:i w:val="0"/>
          <w:smallCaps w:val="0"/>
          <w:strike w:val="0"/>
          <w:sz w:val="14"/>
          <w:u w:val="none"/>
        </w:rPr>
        <w:t xml:space="preserve"> possession of </w:t>
      </w:r>
      <w:r>
        <w:rPr>
          <w:b/>
          <w:i w:val="0"/>
          <w:smallCaps w:val="0"/>
          <w:strike w:val="0"/>
          <w:sz w:val="24"/>
          <w:highlight w:val="cyan"/>
          <w:u w:val="single"/>
        </w:rPr>
        <w:t>all</w:t>
      </w:r>
      <w:r>
        <w:rPr>
          <w:b w:val="0"/>
          <w:i w:val="0"/>
          <w:smallCaps w:val="0"/>
          <w:strike w:val="0"/>
          <w:sz w:val="14"/>
          <w:u w:val="none"/>
        </w:rPr>
        <w:t xml:space="preserve"> (</w:t>
      </w:r>
      <w:r>
        <w:rPr>
          <w:b w:val="0"/>
          <w:i w:val="0"/>
          <w:smallCaps w:val="0"/>
          <w:strike w:val="0"/>
          <w:sz w:val="20"/>
          <w:u w:val="single"/>
        </w:rPr>
        <w:t xml:space="preserve">as opposed to </w:t>
      </w:r>
      <w:r>
        <w:rPr>
          <w:b/>
          <w:i w:val="0"/>
          <w:smallCaps w:val="0"/>
          <w:strike w:val="0"/>
          <w:sz w:val="24"/>
          <w:u w:val="single"/>
        </w:rPr>
        <w:t>any</w:t>
      </w:r>
      <w:r>
        <w:rPr>
          <w:b w:val="0"/>
          <w:i w:val="0"/>
          <w:smallCaps w:val="0"/>
          <w:strike w:val="0"/>
          <w:sz w:val="14"/>
          <w:u w:val="none"/>
        </w:rPr>
        <w:t>) of the chemicals or equipment necessary to manufacture [**24]</w:t>
      </w:r>
      <w:r>
        <w:rPr>
          <w:b w:val="0"/>
          <w:i w:val="0"/>
          <w:smallCaps w:val="0"/>
          <w:strike w:val="0"/>
          <w:sz w:val="14"/>
          <w:u w:val="none"/>
        </w:rPr>
        <w:t xml:space="preserve"> </w:t>
      </w:r>
      <w:r>
        <w:rPr>
          <w:b w:val="0"/>
          <w:i w:val="0"/>
          <w:smallCaps w:val="0"/>
          <w:strike w:val="0"/>
          <w:sz w:val="14"/>
          <w:u w:val="none"/>
        </w:rPr>
        <w:t xml:space="preserve">methamphetamine under some manufacturing process </w:t>
      </w:r>
      <w:r>
        <w:rPr>
          <w:b w:val="0"/>
          <w:i w:val="0"/>
          <w:smallCaps w:val="0"/>
          <w:strike w:val="0"/>
          <w:sz w:val="20"/>
          <w:highlight w:val="cyan"/>
          <w:u w:val="single"/>
        </w:rPr>
        <w:t>is a matter of statutory construction</w:t>
      </w:r>
      <w:r>
        <w:rPr>
          <w:b w:val="0"/>
          <w:i w:val="0"/>
          <w:smallCaps w:val="0"/>
          <w:strike w:val="0"/>
          <w:sz w:val="14"/>
          <w:u w:val="none"/>
        </w:rPr>
        <w:t xml:space="preserve">. First, we examine the language of the </w:t>
      </w:r>
      <w:r>
        <w:rPr>
          <w:b w:val="0"/>
          <w:i w:val="0"/>
          <w:smallCaps w:val="0"/>
          <w:strike w:val="0"/>
          <w:sz w:val="14"/>
          <w:u w:val="none"/>
        </w:rPr>
        <w:t>statute,</w:t>
      </w:r>
      <w:r>
        <w:rPr>
          <w:b w:val="0"/>
          <w:i w:val="0"/>
          <w:smallCaps w:val="0"/>
          <w:strike w:val="0"/>
          <w:sz w:val="14"/>
          <w:u w:val="none"/>
        </w:rPr>
        <w:t xml:space="preserve"> itself. United States v. Health Possibilities, P.S.C., 207 F.3d 335, 338-39 (6th Cir. 2000) HN9 ("The starting point in a statutory interpretation case is the language of the statute itself."). Obviously, the multiple manufacturing methods and the availability of a broad range of readily available chemicals and equipment necessary for each manufacturing process militates against itemizing within the statute </w:t>
      </w:r>
      <w:r>
        <w:rPr>
          <w:b w:val="0"/>
          <w:i w:val="0"/>
          <w:smallCaps w:val="0"/>
          <w:strike w:val="0"/>
          <w:sz w:val="14"/>
          <w:u w:val="none"/>
        </w:rPr>
        <w:t>all of</w:t>
      </w:r>
      <w:r>
        <w:rPr>
          <w:b w:val="0"/>
          <w:i w:val="0"/>
          <w:smallCaps w:val="0"/>
          <w:strike w:val="0"/>
          <w:sz w:val="14"/>
          <w:u w:val="none"/>
        </w:rPr>
        <w:t xml:space="preserve"> the possible chemical and equipment combinations by which methamphetamine could be manufactured. Nevertheless, KRS 218A.1432(1)(b) does not read "[p]</w:t>
      </w:r>
      <w:r>
        <w:rPr>
          <w:b w:val="0"/>
          <w:i w:val="0"/>
          <w:smallCaps w:val="0"/>
          <w:strike w:val="0"/>
          <w:sz w:val="14"/>
          <w:u w:val="none"/>
        </w:rPr>
        <w:t>ossesses</w:t>
      </w:r>
      <w:r>
        <w:rPr>
          <w:b w:val="0"/>
          <w:i w:val="0"/>
          <w:smallCaps w:val="0"/>
          <w:strike w:val="0"/>
          <w:sz w:val="14"/>
          <w:u w:val="none"/>
        </w:rPr>
        <w:t xml:space="preserve"> chemicals or equipment," or "[p]</w:t>
      </w:r>
      <w:r>
        <w:rPr>
          <w:b w:val="0"/>
          <w:i w:val="0"/>
          <w:smallCaps w:val="0"/>
          <w:strike w:val="0"/>
          <w:sz w:val="14"/>
          <w:u w:val="none"/>
        </w:rPr>
        <w:t>ossesses</w:t>
      </w:r>
      <w:r>
        <w:rPr>
          <w:b w:val="0"/>
          <w:i w:val="0"/>
          <w:smallCaps w:val="0"/>
          <w:strike w:val="0"/>
          <w:sz w:val="14"/>
          <w:u w:val="none"/>
        </w:rPr>
        <w:t xml:space="preserve"> some of the chemicals or equipment," or "[p]</w:t>
      </w:r>
      <w:r>
        <w:rPr>
          <w:b w:val="0"/>
          <w:i w:val="0"/>
          <w:smallCaps w:val="0"/>
          <w:strike w:val="0"/>
          <w:sz w:val="14"/>
          <w:u w:val="none"/>
        </w:rPr>
        <w:t>ossesses</w:t>
      </w:r>
      <w:r>
        <w:rPr>
          <w:b w:val="0"/>
          <w:i w:val="0"/>
          <w:smallCaps w:val="0"/>
          <w:strike w:val="0"/>
          <w:sz w:val="14"/>
          <w:u w:val="none"/>
        </w:rPr>
        <w:t xml:space="preserve"> any of the chemicals or equipment." It reads "[p]</w:t>
      </w:r>
      <w:r>
        <w:rPr>
          <w:b w:val="0"/>
          <w:i w:val="0"/>
          <w:smallCaps w:val="0"/>
          <w:strike w:val="0"/>
          <w:sz w:val="14"/>
          <w:u w:val="none"/>
        </w:rPr>
        <w:t>ossesses</w:t>
      </w:r>
      <w:r>
        <w:rPr>
          <w:b w:val="0"/>
          <w:i w:val="0"/>
          <w:smallCaps w:val="0"/>
          <w:strike w:val="0"/>
          <w:sz w:val="14"/>
          <w:u w:val="none"/>
        </w:rPr>
        <w:t xml:space="preserve"> the chemicals or equipment for the manufacture of methamphetamine." </w:t>
      </w:r>
      <w:r>
        <w:rPr>
          <w:b w:val="0"/>
          <w:i w:val="0"/>
          <w:smallCaps w:val="0"/>
          <w:strike w:val="0"/>
          <w:sz w:val="20"/>
          <w:u w:val="single"/>
        </w:rPr>
        <w:t xml:space="preserve">The presence of </w:t>
      </w:r>
      <w:r>
        <w:rPr>
          <w:b w:val="0"/>
          <w:i w:val="0"/>
          <w:smallCaps w:val="0"/>
          <w:strike w:val="0"/>
          <w:sz w:val="20"/>
          <w:highlight w:val="cyan"/>
          <w:u w:val="single"/>
        </w:rPr>
        <w:t>the article "</w:t>
      </w:r>
      <w:r>
        <w:rPr>
          <w:b/>
          <w:i w:val="0"/>
          <w:smallCaps w:val="0"/>
          <w:strike w:val="0"/>
          <w:sz w:val="24"/>
          <w:highlight w:val="cyan"/>
          <w:u w:val="single"/>
        </w:rPr>
        <w:t>the</w:t>
      </w:r>
      <w:r>
        <w:rPr>
          <w:b w:val="0"/>
          <w:i w:val="0"/>
          <w:smallCaps w:val="0"/>
          <w:strike w:val="0"/>
          <w:sz w:val="20"/>
          <w:highlight w:val="cyan"/>
          <w:u w:val="single"/>
        </w:rPr>
        <w:t>" is significant</w:t>
      </w:r>
      <w:r>
        <w:rPr>
          <w:b w:val="0"/>
          <w:i w:val="0"/>
          <w:smallCaps w:val="0"/>
          <w:strike w:val="0"/>
          <w:sz w:val="14"/>
          <w:highlight w:val="cyan"/>
          <w:u w:val="none"/>
        </w:rPr>
        <w:t xml:space="preserve"> </w:t>
      </w:r>
      <w:r>
        <w:rPr>
          <w:b w:val="0"/>
          <w:i w:val="0"/>
          <w:smallCaps w:val="0"/>
          <w:strike w:val="0"/>
          <w:sz w:val="20"/>
          <w:highlight w:val="cyan"/>
          <w:u w:val="single"/>
        </w:rPr>
        <w:t>because</w:t>
      </w:r>
      <w:r>
        <w:rPr>
          <w:b w:val="0"/>
          <w:i w:val="0"/>
          <w:smallCaps w:val="0"/>
          <w:strike w:val="0"/>
          <w:sz w:val="14"/>
          <w:u w:val="none"/>
        </w:rPr>
        <w:t xml:space="preserve">, </w:t>
      </w:r>
      <w:r>
        <w:rPr>
          <w:b w:val="0"/>
          <w:i w:val="0"/>
          <w:smallCaps w:val="0"/>
          <w:strike w:val="0"/>
          <w:sz w:val="20"/>
          <w:u w:val="single"/>
        </w:rPr>
        <w:t>grammatically speaking</w:t>
      </w:r>
      <w:r>
        <w:rPr>
          <w:b w:val="0"/>
          <w:i w:val="0"/>
          <w:smallCaps w:val="0"/>
          <w:strike w:val="0"/>
          <w:sz w:val="14"/>
          <w:u w:val="none"/>
        </w:rPr>
        <w:t xml:space="preserve">, possession of </w:t>
      </w:r>
      <w:r>
        <w:rPr>
          <w:b/>
          <w:i w:val="0"/>
          <w:smallCaps w:val="0"/>
          <w:strike w:val="0"/>
          <w:sz w:val="24"/>
          <w:highlight w:val="cyan"/>
          <w:u w:val="single"/>
        </w:rPr>
        <w:t xml:space="preserve">some but not </w:t>
      </w:r>
      <w:r>
        <w:rPr>
          <w:b/>
          <w:i w:val="0"/>
          <w:smallCaps w:val="0"/>
          <w:strike w:val="0"/>
          <w:sz w:val="24"/>
          <w:highlight w:val="cyan"/>
          <w:u w:val="single"/>
        </w:rPr>
        <w:t>all</w:t>
      </w:r>
      <w:r>
        <w:rPr>
          <w:b w:val="0"/>
          <w:i w:val="0"/>
          <w:smallCaps w:val="0"/>
          <w:strike w:val="0"/>
          <w:sz w:val="14"/>
          <w:u w:val="none"/>
        </w:rPr>
        <w:t xml:space="preserve"> of</w:t>
      </w:r>
      <w:r>
        <w:rPr>
          <w:b w:val="0"/>
          <w:i w:val="0"/>
          <w:smallCaps w:val="0"/>
          <w:strike w:val="0"/>
          <w:sz w:val="14"/>
          <w:u w:val="none"/>
        </w:rPr>
        <w:t xml:space="preserve"> the chemicals or equipment </w:t>
      </w:r>
      <w:r>
        <w:rPr>
          <w:b/>
          <w:i w:val="0"/>
          <w:smallCaps w:val="0"/>
          <w:strike w:val="0"/>
          <w:sz w:val="24"/>
          <w:highlight w:val="cyan"/>
          <w:u w:val="single"/>
        </w:rPr>
        <w:t>does not satisfy</w:t>
      </w:r>
      <w:r>
        <w:rPr>
          <w:b w:val="0"/>
          <w:i w:val="0"/>
          <w:smallCaps w:val="0"/>
          <w:strike w:val="0"/>
          <w:sz w:val="14"/>
          <w:u w:val="none"/>
        </w:rPr>
        <w:t xml:space="preserve"> the statutory language. </w:t>
      </w:r>
    </w:p>
    <w:p>
      <w:pPr>
        <w:spacing w:after="60"/>
      </w:pPr>
      <w:r>
        <w:rPr>
          <w:b w:val="0"/>
          <w:i w:val="0"/>
          <w:smallCaps w:val="0"/>
          <w:strike w:val="0"/>
          <w:sz w:val="14"/>
          <w:u w:val="none"/>
        </w:rPr>
        <w:t>FN 10</w:t>
      </w:r>
    </w:p>
    <w:p>
      <w:pPr>
        <w:spacing w:after="60"/>
      </w:pPr>
      <w:r>
        <w:rPr>
          <w:b w:val="0"/>
          <w:i w:val="0"/>
          <w:smallCaps w:val="0"/>
          <w:strike w:val="0"/>
          <w:sz w:val="20"/>
          <w:u w:val="single"/>
        </w:rPr>
        <w:t>In the context of statutory construction</w:t>
      </w:r>
      <w:r>
        <w:rPr>
          <w:b w:val="0"/>
          <w:i w:val="0"/>
          <w:smallCaps w:val="0"/>
          <w:strike w:val="0"/>
          <w:sz w:val="14"/>
          <w:u w:val="none"/>
        </w:rPr>
        <w:t>, "</w:t>
      </w:r>
      <w:r>
        <w:rPr>
          <w:b/>
          <w:i w:val="0"/>
          <w:smallCaps w:val="0"/>
          <w:strike w:val="0"/>
          <w:sz w:val="24"/>
          <w:highlight w:val="cyan"/>
          <w:u w:val="single"/>
        </w:rPr>
        <w:t>the</w:t>
      </w:r>
      <w:r>
        <w:rPr>
          <w:b w:val="0"/>
          <w:i w:val="0"/>
          <w:smallCaps w:val="0"/>
          <w:strike w:val="0"/>
          <w:sz w:val="14"/>
          <w:u w:val="none"/>
        </w:rPr>
        <w:t xml:space="preserve">" </w:t>
      </w:r>
      <w:r>
        <w:rPr>
          <w:b w:val="0"/>
          <w:i w:val="0"/>
          <w:smallCaps w:val="0"/>
          <w:strike w:val="0"/>
          <w:sz w:val="20"/>
          <w:u w:val="single"/>
        </w:rPr>
        <w:t xml:space="preserve">is used as a function word before a plural noun denoting a group to indicate </w:t>
      </w:r>
      <w:r>
        <w:rPr>
          <w:b w:val="0"/>
          <w:i w:val="0"/>
          <w:smallCaps w:val="0"/>
          <w:strike w:val="0"/>
          <w:sz w:val="20"/>
          <w:highlight w:val="cyan"/>
          <w:u w:val="single"/>
        </w:rPr>
        <w:t>reference</w:t>
      </w:r>
      <w:r>
        <w:rPr>
          <w:b w:val="0"/>
          <w:i w:val="0"/>
          <w:smallCaps w:val="0"/>
          <w:strike w:val="0"/>
          <w:sz w:val="20"/>
          <w:u w:val="single"/>
        </w:rPr>
        <w:t xml:space="preserve"> to </w:t>
      </w:r>
      <w:r>
        <w:rPr>
          <w:b w:val="0"/>
          <w:i w:val="0"/>
          <w:smallCaps w:val="0"/>
          <w:strike w:val="0"/>
          <w:sz w:val="20"/>
          <w:highlight w:val="cyan"/>
          <w:u w:val="single"/>
        </w:rPr>
        <w:t xml:space="preserve">the </w:t>
      </w:r>
      <w:r>
        <w:rPr>
          <w:b/>
          <w:i w:val="0"/>
          <w:smallCaps w:val="0"/>
          <w:strike w:val="0"/>
          <w:sz w:val="24"/>
          <w:highlight w:val="cyan"/>
          <w:u w:val="single"/>
        </w:rPr>
        <w:t>group as a whole</w:t>
      </w:r>
      <w:r>
        <w:rPr>
          <w:b w:val="0"/>
          <w:i w:val="0"/>
          <w:smallCaps w:val="0"/>
          <w:strike w:val="0"/>
          <w:sz w:val="14"/>
          <w:u w:val="none"/>
        </w:rPr>
        <w:t>. In decisions spanning three different centuries, the appellate courts of Kentucky have found use of the word "the" to have a significant effect upon meaning. Courts are directed by the general assembly to construe Kentucky statutes according to the common and approved usage of language. Ky. Rev. Stat. Ann. § 446.080(4). More like this Headnote</w:t>
      </w:r>
    </w:p>
    <w:p>
      <w:pPr>
        <w:spacing w:after="60"/>
      </w:pPr>
      <w:r>
        <w:rPr>
          <w:b w:val="0"/>
          <w:i w:val="0"/>
          <w:smallCaps w:val="0"/>
          <w:strike w:val="0"/>
          <w:sz w:val="14"/>
          <w:u w:val="none"/>
        </w:rPr>
        <w:t>End FN 10</w:t>
      </w:r>
    </w:p>
    <w:p>
      <w:pPr>
        <w:spacing w:after="60"/>
      </w:pPr>
      <w:r>
        <w:rPr>
          <w:b w:val="0"/>
          <w:i w:val="0"/>
          <w:smallCaps w:val="0"/>
          <w:strike w:val="0"/>
          <w:sz w:val="14"/>
          <w:u w:val="none"/>
        </w:rPr>
        <w:t>"</w:t>
      </w:r>
      <w:r>
        <w:rPr>
          <w:b/>
          <w:i w:val="0"/>
          <w:smallCaps w:val="0"/>
          <w:strike w:val="0"/>
          <w:sz w:val="24"/>
          <w:u w:val="single"/>
        </w:rPr>
        <w:t>The</w:t>
      </w:r>
      <w:r>
        <w:rPr>
          <w:b w:val="0"/>
          <w:i w:val="0"/>
          <w:smallCaps w:val="0"/>
          <w:strike w:val="0"/>
          <w:sz w:val="14"/>
          <w:u w:val="none"/>
        </w:rPr>
        <w:t xml:space="preserve">" </w:t>
      </w:r>
      <w:r>
        <w:rPr>
          <w:b w:val="0"/>
          <w:i w:val="0"/>
          <w:smallCaps w:val="0"/>
          <w:strike w:val="0"/>
          <w:sz w:val="20"/>
          <w:u w:val="single"/>
        </w:rPr>
        <w:t>is "[u]sed</w:t>
      </w:r>
      <w:r>
        <w:rPr>
          <w:b w:val="0"/>
          <w:i w:val="0"/>
          <w:smallCaps w:val="0"/>
          <w:strike w:val="0"/>
          <w:sz w:val="14"/>
          <w:u w:val="none"/>
        </w:rPr>
        <w:t xml:space="preserve"> as [**25]</w:t>
      </w:r>
      <w:r>
        <w:rPr>
          <w:b w:val="0"/>
          <w:i w:val="0"/>
          <w:smallCaps w:val="0"/>
          <w:strike w:val="0"/>
          <w:sz w:val="14"/>
          <w:u w:val="none"/>
        </w:rPr>
        <w:t xml:space="preserve"> </w:t>
      </w:r>
      <w:r>
        <w:rPr>
          <w:b w:val="0"/>
          <w:i w:val="0"/>
          <w:smallCaps w:val="0"/>
          <w:strike w:val="0"/>
          <w:sz w:val="14"/>
          <w:u w:val="none"/>
        </w:rPr>
        <w:t xml:space="preserve">a function word before a plural noun </w:t>
      </w:r>
      <w:r>
        <w:rPr>
          <w:b w:val="0"/>
          <w:i w:val="0"/>
          <w:smallCaps w:val="0"/>
          <w:strike w:val="0"/>
          <w:sz w:val="20"/>
          <w:u w:val="single"/>
        </w:rPr>
        <w:t xml:space="preserve">denoting a group to indicate reference to the </w:t>
      </w:r>
      <w:r>
        <w:rPr>
          <w:b/>
          <w:i w:val="0"/>
          <w:smallCaps w:val="0"/>
          <w:strike w:val="0"/>
          <w:sz w:val="24"/>
          <w:u w:val="single"/>
        </w:rPr>
        <w:t>group as a</w:t>
      </w:r>
      <w:r>
        <w:rPr>
          <w:b w:val="0"/>
          <w:i w:val="0"/>
          <w:smallCaps w:val="0"/>
          <w:strike w:val="0"/>
          <w:sz w:val="20"/>
          <w:u w:val="single"/>
        </w:rPr>
        <w:t xml:space="preserve"> </w:t>
      </w:r>
      <w:r>
        <w:rPr>
          <w:b/>
          <w:i w:val="0"/>
          <w:smallCaps w:val="0"/>
          <w:strike w:val="0"/>
          <w:sz w:val="24"/>
          <w:u w:val="single"/>
        </w:rPr>
        <w:t>whole</w:t>
      </w:r>
      <w:r>
        <w:rPr>
          <w:b w:val="0"/>
          <w:i w:val="0"/>
          <w:smallCaps w:val="0"/>
          <w:strike w:val="0"/>
          <w:sz w:val="14"/>
          <w:u w:val="none"/>
        </w:rPr>
        <w:t xml:space="preserve">." Webster's Third New International Dictionary 2369 (1993). </w:t>
      </w:r>
      <w:r>
        <w:rPr>
          <w:b w:val="0"/>
          <w:i w:val="0"/>
          <w:smallCaps w:val="0"/>
          <w:strike w:val="0"/>
          <w:sz w:val="20"/>
          <w:u w:val="single"/>
        </w:rPr>
        <w:t xml:space="preserve">In decisions spanning three different centuries, </w:t>
      </w:r>
      <w:r>
        <w:rPr>
          <w:b w:val="0"/>
          <w:i w:val="0"/>
          <w:smallCaps w:val="0"/>
          <w:strike w:val="0"/>
          <w:sz w:val="14"/>
          <w:u w:val="none"/>
        </w:rPr>
        <w:t>the appellate</w:t>
      </w:r>
      <w:r>
        <w:rPr>
          <w:b w:val="0"/>
          <w:i w:val="0"/>
          <w:smallCaps w:val="0"/>
          <w:strike w:val="0"/>
          <w:sz w:val="20"/>
          <w:u w:val="single"/>
        </w:rPr>
        <w:t xml:space="preserve"> courts </w:t>
      </w:r>
      <w:r>
        <w:rPr>
          <w:b w:val="0"/>
          <w:i w:val="0"/>
          <w:smallCaps w:val="0"/>
          <w:strike w:val="0"/>
          <w:sz w:val="14"/>
          <w:u w:val="none"/>
        </w:rPr>
        <w:t>of this Commonwealth</w:t>
      </w:r>
      <w:r>
        <w:rPr>
          <w:b w:val="0"/>
          <w:i w:val="0"/>
          <w:smallCaps w:val="0"/>
          <w:strike w:val="0"/>
          <w:sz w:val="20"/>
          <w:u w:val="single"/>
        </w:rPr>
        <w:t xml:space="preserve"> have found use of the word "</w:t>
      </w:r>
      <w:r>
        <w:rPr>
          <w:b/>
          <w:i w:val="0"/>
          <w:smallCaps w:val="0"/>
          <w:strike w:val="0"/>
          <w:sz w:val="24"/>
          <w:highlight w:val="cyan"/>
          <w:u w:val="single"/>
        </w:rPr>
        <w:t>the</w:t>
      </w:r>
      <w:r>
        <w:rPr>
          <w:b w:val="0"/>
          <w:i w:val="0"/>
          <w:smallCaps w:val="0"/>
          <w:strike w:val="0"/>
          <w:sz w:val="20"/>
          <w:u w:val="single"/>
        </w:rPr>
        <w:t xml:space="preserve">" to </w:t>
      </w:r>
      <w:r>
        <w:rPr>
          <w:b w:val="0"/>
          <w:i w:val="0"/>
          <w:smallCaps w:val="0"/>
          <w:strike w:val="0"/>
          <w:sz w:val="20"/>
          <w:highlight w:val="cyan"/>
          <w:u w:val="single"/>
        </w:rPr>
        <w:t>have a significant effect upon meaning</w:t>
      </w:r>
      <w:r>
        <w:rPr>
          <w:b w:val="0"/>
          <w:i w:val="0"/>
          <w:smallCaps w:val="0"/>
          <w:strike w:val="0"/>
          <w:sz w:val="14"/>
          <w:u w:val="none"/>
        </w:rPr>
        <w:t>. See Revenue Cabinet v. Hubbard, Ky., 37 S.W.3d 717, 719-20 (2000) ("[</w:t>
      </w:r>
      <w:r>
        <w:rPr>
          <w:b w:val="0"/>
          <w:i w:val="0"/>
          <w:smallCaps w:val="0"/>
          <w:strike w:val="0"/>
          <w:sz w:val="20"/>
          <w:highlight w:val="cyan"/>
          <w:u w:val="single"/>
        </w:rPr>
        <w:t>U]se</w:t>
      </w:r>
      <w:r>
        <w:rPr>
          <w:b w:val="0"/>
          <w:i w:val="0"/>
          <w:smallCaps w:val="0"/>
          <w:strike w:val="0"/>
          <w:sz w:val="20"/>
          <w:u w:val="single"/>
        </w:rPr>
        <w:t xml:space="preserve"> of</w:t>
      </w:r>
      <w:r>
        <w:rPr>
          <w:b w:val="0"/>
          <w:i w:val="0"/>
          <w:smallCaps w:val="0"/>
          <w:strike w:val="0"/>
          <w:sz w:val="14"/>
          <w:u w:val="none"/>
        </w:rPr>
        <w:t xml:space="preserve"> the definite article </w:t>
      </w:r>
      <w:r>
        <w:rPr>
          <w:b/>
          <w:i w:val="0"/>
          <w:smallCaps w:val="0"/>
          <w:strike w:val="0"/>
          <w:sz w:val="24"/>
          <w:u w:val="single"/>
        </w:rPr>
        <w:t>'the'</w:t>
      </w:r>
      <w:r>
        <w:rPr>
          <w:b w:val="0"/>
          <w:i w:val="0"/>
          <w:smallCaps w:val="0"/>
          <w:strike w:val="0"/>
          <w:sz w:val="14"/>
          <w:u w:val="none"/>
        </w:rPr>
        <w:t xml:space="preserve"> </w:t>
      </w:r>
      <w:r>
        <w:rPr>
          <w:b/>
          <w:i w:val="0"/>
          <w:smallCaps w:val="0"/>
          <w:strike w:val="0"/>
          <w:sz w:val="24"/>
          <w:highlight w:val="cyan"/>
          <w:u w:val="single"/>
        </w:rPr>
        <w:t>indicates</w:t>
      </w:r>
      <w:r>
        <w:rPr>
          <w:b w:val="0"/>
          <w:i w:val="0"/>
          <w:smallCaps w:val="0"/>
          <w:strike w:val="0"/>
          <w:sz w:val="14"/>
          <w:u w:val="none"/>
        </w:rPr>
        <w:t xml:space="preserve"> that the statute refers to </w:t>
      </w:r>
      <w:r>
        <w:rPr>
          <w:b/>
          <w:i w:val="0"/>
          <w:smallCaps w:val="0"/>
          <w:strike w:val="0"/>
          <w:sz w:val="24"/>
          <w:highlight w:val="cyan"/>
          <w:u w:val="single"/>
        </w:rPr>
        <w:t>the entire body and not</w:t>
      </w:r>
      <w:r>
        <w:rPr>
          <w:b/>
          <w:i w:val="0"/>
          <w:smallCaps w:val="0"/>
          <w:strike w:val="0"/>
          <w:sz w:val="24"/>
          <w:u w:val="single"/>
        </w:rPr>
        <w:t xml:space="preserve"> to </w:t>
      </w:r>
      <w:r>
        <w:rPr>
          <w:b/>
          <w:i w:val="0"/>
          <w:smallCaps w:val="0"/>
          <w:strike w:val="0"/>
          <w:sz w:val="24"/>
          <w:highlight w:val="cyan"/>
          <w:u w:val="single"/>
        </w:rPr>
        <w:t>discrete parts</w:t>
      </w:r>
      <w:r>
        <w:rPr>
          <w:b/>
          <w:i w:val="0"/>
          <w:smallCaps w:val="0"/>
          <w:strike w:val="0"/>
          <w:sz w:val="24"/>
          <w:u w:val="single"/>
        </w:rPr>
        <w:t xml:space="preserve"> or components</w:t>
      </w:r>
      <w:r>
        <w:rPr>
          <w:b w:val="0"/>
          <w:i w:val="0"/>
          <w:smallCaps w:val="0"/>
          <w:strike w:val="0"/>
          <w:sz w:val="14"/>
          <w:u w:val="none"/>
        </w:rPr>
        <w:t xml:space="preserve">. . . ."); Cardwell v. Haycraft, Ky., 268 S.W.2d 916, 918 (1954) (the trial court's contributory negligence instruction was erroneous in that it contained the definite article "the" before the words "proximate cause" and "such language indicates that 'the sole' rather than 'a contributing' cause was meant."); Schardein v. Harrison, 230 Ky. 1, 18 S.W.2d 316, 319 (1929) ("[I]f the makers of the Constitution had intended to qualify the word 'office' [in Ky. Const. § 161] they would have inserted the definite article 'the' before 'office.'") (quotation omitted); Sheriff of Fayette v. Buckner, 11 Ky. (1 Litt.) 126, 128 (1822) [**26] (holding that legislative act referencing "the clerk of the court" intended a particular clerk of court referenced elsewhere in the legislation). For similar interpretations by other jurisdictions, see, e.g., State Farm Fire &amp; Cas. Co. v. Old Republic Ins. Co., 466 Mich. 142, 644 N.W.2d 715, 718 (Mich. 2002); </w:t>
      </w:r>
      <w:r>
        <w:rPr>
          <w:b w:val="0"/>
          <w:i w:val="0"/>
          <w:smallCaps w:val="0"/>
          <w:strike w:val="0"/>
          <w:sz w:val="14"/>
          <w:u w:val="none"/>
        </w:rPr>
        <w:t>Patricca</w:t>
      </w:r>
      <w:r>
        <w:rPr>
          <w:b w:val="0"/>
          <w:i w:val="0"/>
          <w:smallCaps w:val="0"/>
          <w:strike w:val="0"/>
          <w:sz w:val="14"/>
          <w:u w:val="none"/>
        </w:rPr>
        <w:t xml:space="preserve"> v. Zoning Bd. of Adjustment, 527 Pa. 267, 590 A.2d 744, 751 (Pa. 1991); McClanahan v. Woodward Constr. Co., 77 Wyo. 362, 316 P.2d 337, 341-42 (Wyo. 1957); Williams v. McComb, 38 NC. (3 </w:t>
      </w:r>
      <w:r>
        <w:rPr>
          <w:b w:val="0"/>
          <w:i w:val="0"/>
          <w:smallCaps w:val="0"/>
          <w:strike w:val="0"/>
          <w:sz w:val="14"/>
          <w:u w:val="none"/>
        </w:rPr>
        <w:t>Ired</w:t>
      </w:r>
      <w:r>
        <w:rPr>
          <w:b w:val="0"/>
          <w:i w:val="0"/>
          <w:smallCaps w:val="0"/>
          <w:strike w:val="0"/>
          <w:sz w:val="14"/>
          <w:u w:val="none"/>
        </w:rPr>
        <w:t>. Eq.) 450 (1844) ("[G]</w:t>
      </w:r>
      <w:r>
        <w:rPr>
          <w:b w:val="0"/>
          <w:i w:val="0"/>
          <w:smallCaps w:val="0"/>
          <w:strike w:val="0"/>
          <w:sz w:val="14"/>
          <w:u w:val="none"/>
        </w:rPr>
        <w:t>rammatically</w:t>
      </w:r>
      <w:r>
        <w:rPr>
          <w:b w:val="0"/>
          <w:i w:val="0"/>
          <w:smallCaps w:val="0"/>
          <w:strike w:val="0"/>
          <w:sz w:val="14"/>
          <w:u w:val="none"/>
        </w:rPr>
        <w:t xml:space="preserve"> speaking, 'The,' is a definite article before nouns, which are specific or understood, and is used to limit or determine their extent."). We are directed by the General Assembly to construe our statutes "according to the common and approved usage of language." KRS 446.080(4). Following that directive, </w:t>
      </w:r>
    </w:p>
    <w:p>
      <w:pPr>
        <w:spacing w:after="60"/>
      </w:pPr>
      <w:r>
        <w:rPr>
          <w:b w:val="0"/>
          <w:i w:val="0"/>
          <w:smallCaps w:val="0"/>
          <w:strike w:val="0"/>
          <w:sz w:val="14"/>
          <w:u w:val="none"/>
        </w:rPr>
        <w:t>FN 11</w:t>
      </w:r>
    </w:p>
    <w:p>
      <w:pPr>
        <w:spacing w:after="60"/>
      </w:pPr>
      <w:r>
        <w:rPr>
          <w:b w:val="0"/>
          <w:i w:val="0"/>
          <w:smallCaps w:val="0"/>
          <w:strike w:val="0"/>
          <w:sz w:val="20"/>
          <w:u w:val="single"/>
        </w:rPr>
        <w:t>The Kentucky Supreme Court construes the phrase "</w:t>
      </w:r>
      <w:r>
        <w:rPr>
          <w:b/>
          <w:i w:val="0"/>
          <w:smallCaps w:val="0"/>
          <w:strike w:val="0"/>
          <w:sz w:val="24"/>
          <w:u w:val="single"/>
        </w:rPr>
        <w:t>the</w:t>
      </w:r>
      <w:r>
        <w:rPr>
          <w:b w:val="0"/>
          <w:i w:val="0"/>
          <w:smallCaps w:val="0"/>
          <w:strike w:val="0"/>
          <w:sz w:val="14"/>
          <w:u w:val="none"/>
        </w:rPr>
        <w:t xml:space="preserve"> </w:t>
      </w:r>
      <w:r>
        <w:rPr>
          <w:b/>
          <w:i w:val="0"/>
          <w:smallCaps w:val="0"/>
          <w:strike w:val="0"/>
          <w:sz w:val="24"/>
          <w:u w:val="single"/>
        </w:rPr>
        <w:t>chemicals</w:t>
      </w:r>
      <w:r>
        <w:rPr>
          <w:b w:val="0"/>
          <w:i w:val="0"/>
          <w:smallCaps w:val="0"/>
          <w:strike w:val="0"/>
          <w:sz w:val="14"/>
          <w:u w:val="none"/>
        </w:rPr>
        <w:t xml:space="preserve"> or equipment" as used in Ky. Rev. Stat. Ann. § Ky. Rev. Stat. § 218A.1432(1)(b) </w:t>
      </w:r>
      <w:r>
        <w:rPr>
          <w:b w:val="0"/>
          <w:i w:val="0"/>
          <w:smallCaps w:val="0"/>
          <w:strike w:val="0"/>
          <w:sz w:val="20"/>
          <w:u w:val="single"/>
        </w:rPr>
        <w:t xml:space="preserve">to mean </w:t>
      </w:r>
      <w:r>
        <w:rPr>
          <w:b/>
          <w:i w:val="0"/>
          <w:smallCaps w:val="0"/>
          <w:strike w:val="0"/>
          <w:sz w:val="24"/>
          <w:u w:val="single"/>
        </w:rPr>
        <w:t>all</w:t>
      </w:r>
      <w:r>
        <w:rPr>
          <w:b w:val="0"/>
          <w:i w:val="0"/>
          <w:smallCaps w:val="0"/>
          <w:strike w:val="0"/>
          <w:sz w:val="20"/>
          <w:u w:val="single"/>
        </w:rPr>
        <w:t xml:space="preserve"> of</w:t>
      </w:r>
      <w:r>
        <w:rPr>
          <w:b w:val="0"/>
          <w:i w:val="0"/>
          <w:smallCaps w:val="0"/>
          <w:strike w:val="0"/>
          <w:sz w:val="20"/>
          <w:u w:val="single"/>
        </w:rPr>
        <w:t xml:space="preserve"> the chemicals</w:t>
      </w:r>
      <w:r>
        <w:rPr>
          <w:b w:val="0"/>
          <w:i w:val="0"/>
          <w:smallCaps w:val="0"/>
          <w:strike w:val="0"/>
          <w:sz w:val="14"/>
          <w:u w:val="none"/>
        </w:rPr>
        <w:t xml:space="preserve"> or all of the equipment necessary to manufacture methamphetamine. More like this Headnote</w:t>
      </w:r>
    </w:p>
    <w:p>
      <w:pPr>
        <w:spacing w:after="60"/>
      </w:pPr>
      <w:r>
        <w:rPr>
          <w:b w:val="0"/>
          <w:i w:val="0"/>
          <w:smallCaps w:val="0"/>
          <w:strike w:val="0"/>
          <w:sz w:val="14"/>
          <w:u w:val="none"/>
        </w:rPr>
        <w:t>End FN 11</w:t>
      </w:r>
    </w:p>
    <w:p>
      <w:pPr>
        <w:spacing w:after="60"/>
      </w:pPr>
      <w:r>
        <w:rPr>
          <w:b w:val="0"/>
          <w:i w:val="0"/>
          <w:smallCaps w:val="0"/>
          <w:strike w:val="0"/>
          <w:sz w:val="14"/>
          <w:u w:val="none"/>
        </w:rPr>
        <w:t xml:space="preserve">we construe "the chemicals or equipment" to mean </w:t>
      </w:r>
      <w:r>
        <w:rPr>
          <w:b w:val="0"/>
          <w:i w:val="0"/>
          <w:smallCaps w:val="0"/>
          <w:strike w:val="0"/>
          <w:sz w:val="14"/>
          <w:u w:val="none"/>
        </w:rPr>
        <w:t>all of</w:t>
      </w:r>
      <w:r>
        <w:rPr>
          <w:b w:val="0"/>
          <w:i w:val="0"/>
          <w:smallCaps w:val="0"/>
          <w:strike w:val="0"/>
          <w:sz w:val="14"/>
          <w:u w:val="none"/>
        </w:rPr>
        <w:t xml:space="preserve"> the chemicals or all of the equipment necessary to manufacture methamphetamine.</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