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means there’s </w:t>
      </w:r>
      <w:r>
        <w:rPr>
          <w:b/>
          <w:i w:val="0"/>
          <w:smallCaps w:val="0"/>
          <w:strike w:val="0"/>
          <w:sz w:val="26"/>
          <w:u w:val="single"/>
        </w:rPr>
        <w:t>only one</w:t>
      </w:r>
      <w:r>
        <w:rPr>
          <w:b/>
          <w:i w:val="0"/>
          <w:smallCaps w:val="0"/>
          <w:strike w:val="0"/>
          <w:sz w:val="26"/>
          <w:u w:val="none"/>
        </w:rPr>
        <w:t xml:space="preserve"> whole.</w:t>
      </w:r>
    </w:p>
    <w:p>
      <w:pPr>
        <w:spacing w:after="80"/>
      </w:pPr>
      <w:r>
        <w:rPr>
          <w:b/>
          <w:i w:val="0"/>
          <w:smallCaps w:val="0"/>
          <w:strike w:val="0"/>
          <w:sz w:val="26"/>
          <w:u w:val="none"/>
        </w:rPr>
        <w:t>Rehnquist ’4</w:t>
      </w:r>
      <w:r>
        <w:rPr>
          <w:b w:val="0"/>
          <w:i w:val="0"/>
          <w:smallCaps w:val="0"/>
          <w:strike w:val="0"/>
          <w:sz w:val="20"/>
          <w:u w:val="none"/>
        </w:rPr>
        <w:t xml:space="preserve"> [William Rehnquist; June 28, 2004; Chief Justice of the Supreme Court of the United States, delivering the opinion of the court; Westlaw, “Rumsfeld v. Padilla,” 542 U.S. 426]</w:t>
      </w:r>
    </w:p>
    <w:p>
      <w:pPr>
        <w:spacing w:after="60"/>
      </w:pPr>
      <w:r>
        <w:rPr>
          <w:b w:val="0"/>
          <w:i w:val="0"/>
          <w:smallCaps w:val="0"/>
          <w:strike w:val="0"/>
          <w:sz w:val="16"/>
          <w:u w:val="none"/>
        </w:rPr>
        <w:t xml:space="preserve">The federal habeas statute straightforwardly provides that the proper respondent to a habeas petition is “the person who has custody over [the petitioner].” 28 U.S.C. § 2242; see also § 2243 (“The writ, or order to show cause shall be directed to the person having custody of the person detained”). </w:t>
      </w:r>
      <w:r>
        <w:rPr>
          <w:b/>
          <w:i w:val="0"/>
          <w:smallCaps w:val="0"/>
          <w:strike w:val="0"/>
          <w:sz w:val="24"/>
          <w:u w:val="single"/>
        </w:rPr>
        <w:t xml:space="preserve">The </w:t>
      </w:r>
      <w:r>
        <w:rPr>
          <w:b/>
          <w:i w:val="0"/>
          <w:smallCaps w:val="0"/>
          <w:strike w:val="0"/>
          <w:sz w:val="24"/>
          <w:highlight w:val="cyan"/>
          <w:u w:val="single"/>
        </w:rPr>
        <w:t>consistent use</w:t>
      </w:r>
      <w:r>
        <w:rPr>
          <w:b/>
          <w:i w:val="0"/>
          <w:smallCaps w:val="0"/>
          <w:strike w:val="0"/>
          <w:sz w:val="24"/>
          <w:highlight w:val="cyan"/>
          <w:u w:val="single"/>
        </w:rPr>
        <w:t xml:space="preserve"> of</w:t>
      </w:r>
      <w:r>
        <w:rPr>
          <w:b/>
          <w:i w:val="0"/>
          <w:smallCaps w:val="0"/>
          <w:strike w:val="0"/>
          <w:sz w:val="24"/>
          <w:u w:val="single"/>
        </w:rPr>
        <w:t xml:space="preserve"> the </w:t>
      </w:r>
      <w:r>
        <w:rPr>
          <w:b/>
          <w:i w:val="0"/>
          <w:smallCaps w:val="0"/>
          <w:strike w:val="0"/>
          <w:sz w:val="24"/>
          <w:highlight w:val="cyan"/>
          <w:u w:val="single"/>
        </w:rPr>
        <w:t>definite article</w:t>
      </w:r>
      <w:r>
        <w:rPr>
          <w:b w:val="0"/>
          <w:i w:val="0"/>
          <w:smallCaps w:val="0"/>
          <w:strike w:val="0"/>
          <w:sz w:val="16"/>
          <w:u w:val="none"/>
        </w:rPr>
        <w:t xml:space="preserve"> in reference to the custodian </w:t>
      </w:r>
      <w:r>
        <w:rPr>
          <w:b/>
          <w:i w:val="0"/>
          <w:smallCaps w:val="0"/>
          <w:strike w:val="0"/>
          <w:sz w:val="24"/>
          <w:highlight w:val="cyan"/>
          <w:u w:val="single"/>
        </w:rPr>
        <w:t>indicates</w:t>
      </w:r>
      <w:r>
        <w:rPr>
          <w:b w:val="0"/>
          <w:i w:val="0"/>
          <w:smallCaps w:val="0"/>
          <w:strike w:val="0"/>
          <w:sz w:val="16"/>
          <w:u w:val="none"/>
        </w:rPr>
        <w:t xml:space="preserve"> that </w:t>
      </w:r>
      <w:r>
        <w:rPr>
          <w:b/>
          <w:i w:val="0"/>
          <w:smallCaps w:val="0"/>
          <w:strike w:val="0"/>
          <w:sz w:val="24"/>
          <w:highlight w:val="cyan"/>
          <w:u w:val="single"/>
        </w:rPr>
        <w:t>there is</w:t>
      </w:r>
      <w:r>
        <w:rPr>
          <w:b w:val="0"/>
          <w:i w:val="0"/>
          <w:smallCaps w:val="0"/>
          <w:strike w:val="0"/>
          <w:sz w:val="16"/>
          <w:u w:val="none"/>
        </w:rPr>
        <w:t xml:space="preserve"> generally </w:t>
      </w:r>
      <w:r>
        <w:rPr>
          <w:b/>
          <w:i w:val="0"/>
          <w:smallCaps w:val="0"/>
          <w:strike w:val="0"/>
          <w:sz w:val="24"/>
          <w:highlight w:val="cyan"/>
          <w:u w:val="single"/>
        </w:rPr>
        <w:t>only one</w:t>
      </w:r>
      <w:r>
        <w:rPr>
          <w:b w:val="0"/>
          <w:i w:val="0"/>
          <w:smallCaps w:val="0"/>
          <w:strike w:val="0"/>
          <w:sz w:val="16"/>
          <w:u w:val="none"/>
        </w:rPr>
        <w:t xml:space="preserve"> proper respondent to a given prisoner's habeas petition. *435 This custodian, moreover, is “the person” with the ability to produce the prisoner's body before the habeas court. Ibid. We summed up the plain language of the habeas statute over 100 years ago in this way: “[T]</w:t>
      </w:r>
      <w:r>
        <w:rPr>
          <w:b w:val="0"/>
          <w:i w:val="0"/>
          <w:smallCaps w:val="0"/>
          <w:strike w:val="0"/>
          <w:sz w:val="16"/>
          <w:u w:val="none"/>
        </w:rPr>
        <w:t>hese</w:t>
      </w:r>
      <w:r>
        <w:rPr>
          <w:b w:val="0"/>
          <w:i w:val="0"/>
          <w:smallCaps w:val="0"/>
          <w:strike w:val="0"/>
          <w:sz w:val="16"/>
          <w:u w:val="none"/>
        </w:rPr>
        <w:t xml:space="preserve"> provisions contemplate a proceeding against some person who has the immediate custody of the party detained, with the power to produce the body of such party before the court or judge, that he may be liberated if no sufficient reason is shown to the contrary.” Wales v. Whitney, 114 U.S. 564, 574, 5 </w:t>
      </w:r>
      <w:r>
        <w:rPr>
          <w:b w:val="0"/>
          <w:i w:val="0"/>
          <w:smallCaps w:val="0"/>
          <w:strike w:val="0"/>
          <w:sz w:val="16"/>
          <w:u w:val="none"/>
        </w:rPr>
        <w:t>S.Ct</w:t>
      </w:r>
      <w:r>
        <w:rPr>
          <w:b w:val="0"/>
          <w:i w:val="0"/>
          <w:smallCaps w:val="0"/>
          <w:strike w:val="0"/>
          <w:sz w:val="16"/>
          <w:u w:val="none"/>
        </w:rPr>
        <w:t xml:space="preserve">. 1050, 29 </w:t>
      </w:r>
      <w:r>
        <w:rPr>
          <w:b w:val="0"/>
          <w:i w:val="0"/>
          <w:smallCaps w:val="0"/>
          <w:strike w:val="0"/>
          <w:sz w:val="16"/>
          <w:u w:val="none"/>
        </w:rPr>
        <w:t>L.Ed</w:t>
      </w:r>
      <w:r>
        <w:rPr>
          <w:b w:val="0"/>
          <w:i w:val="0"/>
          <w:smallCaps w:val="0"/>
          <w:strike w:val="0"/>
          <w:sz w:val="16"/>
          <w:u w:val="none"/>
        </w:rPr>
        <w:t xml:space="preserve">. 277 (1885) **2718 (emphasis added); see also Braden v. 30th Judicial Circuit Court of Ky., 410 U.S. 484, 494-495, 93 </w:t>
      </w:r>
      <w:r>
        <w:rPr>
          <w:b w:val="0"/>
          <w:i w:val="0"/>
          <w:smallCaps w:val="0"/>
          <w:strike w:val="0"/>
          <w:sz w:val="16"/>
          <w:u w:val="none"/>
        </w:rPr>
        <w:t>S.Ct</w:t>
      </w:r>
      <w:r>
        <w:rPr>
          <w:b w:val="0"/>
          <w:i w:val="0"/>
          <w:smallCaps w:val="0"/>
          <w:strike w:val="0"/>
          <w:sz w:val="16"/>
          <w:u w:val="none"/>
        </w:rPr>
        <w:t xml:space="preserve">. 1123, 35 L.Ed.2d 443 (1973) (“The writ of habeas corpus” acts upon “the person who holds [the detainee] in what is alleged to be unlawful custody,” citing Wales, supra, at 574, 5 </w:t>
      </w:r>
      <w:r>
        <w:rPr>
          <w:b w:val="0"/>
          <w:i w:val="0"/>
          <w:smallCaps w:val="0"/>
          <w:strike w:val="0"/>
          <w:sz w:val="16"/>
          <w:u w:val="none"/>
        </w:rPr>
        <w:t>S.Ct</w:t>
      </w:r>
      <w:r>
        <w:rPr>
          <w:b w:val="0"/>
          <w:i w:val="0"/>
          <w:smallCaps w:val="0"/>
          <w:strike w:val="0"/>
          <w:sz w:val="16"/>
          <w:u w:val="none"/>
        </w:rPr>
        <w:t xml:space="preserve">. 1050); Braden, supra, at 495, 93 </w:t>
      </w:r>
      <w:r>
        <w:rPr>
          <w:b w:val="0"/>
          <w:i w:val="0"/>
          <w:smallCaps w:val="0"/>
          <w:strike w:val="0"/>
          <w:sz w:val="16"/>
          <w:u w:val="none"/>
        </w:rPr>
        <w:t>S.Ct</w:t>
      </w:r>
      <w:r>
        <w:rPr>
          <w:b w:val="0"/>
          <w:i w:val="0"/>
          <w:smallCaps w:val="0"/>
          <w:strike w:val="0"/>
          <w:sz w:val="16"/>
          <w:u w:val="none"/>
        </w:rPr>
        <w:t>. 1123 (“ ‘[T]his writ ... is directed to ... [the] jailer,’ ” quoting In re Jackson, 15 Mich. 417, 439-440 (1867)).</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