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just makes the noun definite.</w:t>
      </w:r>
    </w:p>
    <w:p>
      <w:pPr>
        <w:spacing w:after="80"/>
      </w:pPr>
      <w:r>
        <w:rPr>
          <w:b/>
          <w:i w:val="0"/>
          <w:smallCaps w:val="0"/>
          <w:strike w:val="0"/>
          <w:sz w:val="26"/>
          <w:u w:val="none"/>
        </w:rPr>
        <w:t>Alito ’19</w:t>
      </w:r>
      <w:r>
        <w:rPr>
          <w:b w:val="0"/>
          <w:i w:val="0"/>
          <w:smallCaps w:val="0"/>
          <w:strike w:val="0"/>
          <w:sz w:val="20"/>
          <w:u w:val="none"/>
        </w:rPr>
        <w:t xml:space="preserve"> [Samuel Alito; March 19, 2019; Justice on the Supreme Court of the United States, delivering the opinion of the Court (this is section IIIA); Westlaw, “Nielsen v. Preap,” 139 S. Ct. 954]</w:t>
      </w:r>
    </w:p>
    <w:p>
      <w:pPr>
        <w:spacing w:after="60"/>
      </w:pPr>
      <w:r>
        <w:rPr>
          <w:b/>
          <w:i w:val="0"/>
          <w:smallCaps w:val="0"/>
          <w:strike w:val="0"/>
          <w:sz w:val="24"/>
          <w:u w:val="single"/>
        </w:rPr>
        <w:t xml:space="preserve">Our reading is </w:t>
      </w:r>
      <w:r>
        <w:rPr>
          <w:b/>
          <w:i w:val="0"/>
          <w:smallCaps w:val="0"/>
          <w:strike w:val="0"/>
          <w:sz w:val="24"/>
          <w:u w:val="single"/>
        </w:rPr>
        <w:t>confirmed</w:t>
      </w:r>
      <w:r>
        <w:rPr>
          <w:b/>
          <w:i w:val="0"/>
          <w:smallCaps w:val="0"/>
          <w:strike w:val="0"/>
          <w:sz w:val="24"/>
          <w:u w:val="single"/>
        </w:rPr>
        <w:t xml:space="preserve"> by Congress's use of the </w:t>
      </w:r>
      <w:r>
        <w:rPr>
          <w:b/>
          <w:i w:val="0"/>
          <w:smallCaps w:val="0"/>
          <w:strike w:val="0"/>
          <w:sz w:val="24"/>
          <w:u w:val="single"/>
        </w:rPr>
        <w:t>definite article</w:t>
      </w:r>
      <w:r>
        <w:rPr>
          <w:b w:val="0"/>
          <w:i w:val="0"/>
          <w:smallCaps w:val="0"/>
          <w:strike w:val="0"/>
          <w:sz w:val="16"/>
          <w:u w:val="none"/>
        </w:rPr>
        <w:t xml:space="preserve"> in “when the alien is released.” </w:t>
      </w:r>
      <w:r>
        <w:rPr>
          <w:b/>
          <w:i w:val="0"/>
          <w:smallCaps w:val="0"/>
          <w:strike w:val="0"/>
          <w:sz w:val="24"/>
          <w:u w:val="single"/>
        </w:rPr>
        <w:t>Because “[w]</w:t>
      </w:r>
      <w:r>
        <w:rPr>
          <w:b/>
          <w:i w:val="0"/>
          <w:smallCaps w:val="0"/>
          <w:strike w:val="0"/>
          <w:sz w:val="24"/>
          <w:u w:val="single"/>
        </w:rPr>
        <w:t>ords</w:t>
      </w:r>
      <w:r>
        <w:rPr>
          <w:b/>
          <w:i w:val="0"/>
          <w:smallCaps w:val="0"/>
          <w:strike w:val="0"/>
          <w:sz w:val="24"/>
          <w:u w:val="single"/>
        </w:rPr>
        <w:t xml:space="preserve"> are to be given the meaning that proper grammar and usage would assign them,”</w:t>
      </w:r>
      <w:r>
        <w:rPr>
          <w:b w:val="0"/>
          <w:i w:val="0"/>
          <w:smallCaps w:val="0"/>
          <w:strike w:val="0"/>
          <w:sz w:val="16"/>
          <w:u w:val="none"/>
        </w:rPr>
        <w:t xml:space="preserve"> A. Scalia &amp; B. Garner, Reading Law: The Interpretation of Legal Texts 140 (2012), </w:t>
      </w:r>
      <w:r>
        <w:rPr>
          <w:b/>
          <w:i w:val="0"/>
          <w:smallCaps w:val="0"/>
          <w:strike w:val="0"/>
          <w:sz w:val="24"/>
          <w:u w:val="single"/>
        </w:rPr>
        <w:t>the “rules of grammar govern” statutory interpretation “unless they contradict</w:t>
      </w:r>
      <w:r>
        <w:rPr>
          <w:b w:val="0"/>
          <w:i w:val="0"/>
          <w:smallCaps w:val="0"/>
          <w:strike w:val="0"/>
          <w:sz w:val="16"/>
          <w:u w:val="none"/>
        </w:rPr>
        <w:t xml:space="preserve"> legislative </w:t>
      </w:r>
      <w:r>
        <w:rPr>
          <w:b/>
          <w:i w:val="0"/>
          <w:smallCaps w:val="0"/>
          <w:strike w:val="0"/>
          <w:sz w:val="24"/>
          <w:u w:val="single"/>
        </w:rPr>
        <w:t>intent or purpose,”</w:t>
      </w:r>
      <w:r>
        <w:rPr>
          <w:b w:val="0"/>
          <w:i w:val="0"/>
          <w:smallCaps w:val="0"/>
          <w:strike w:val="0"/>
          <w:sz w:val="16"/>
          <w:u w:val="none"/>
        </w:rPr>
        <w:t xml:space="preserve"> ibid. (citing Costello v. INS, 376 U.S. 120, 122–126, 84 </w:t>
      </w:r>
      <w:r>
        <w:rPr>
          <w:b w:val="0"/>
          <w:i w:val="0"/>
          <w:smallCaps w:val="0"/>
          <w:strike w:val="0"/>
          <w:sz w:val="16"/>
          <w:u w:val="none"/>
        </w:rPr>
        <w:t>S.Ct</w:t>
      </w:r>
      <w:r>
        <w:rPr>
          <w:b w:val="0"/>
          <w:i w:val="0"/>
          <w:smallCaps w:val="0"/>
          <w:strike w:val="0"/>
          <w:sz w:val="16"/>
          <w:u w:val="none"/>
        </w:rPr>
        <w:t xml:space="preserve">. 580, 11 L.Ed.2d 559 (1964)). </w:t>
      </w:r>
      <w:r>
        <w:rPr>
          <w:b/>
          <w:i w:val="0"/>
          <w:smallCaps w:val="0"/>
          <w:strike w:val="0"/>
          <w:sz w:val="24"/>
          <w:u w:val="single"/>
        </w:rPr>
        <w:t xml:space="preserve">Here grammar </w:t>
      </w:r>
      <w:r>
        <w:rPr>
          <w:b/>
          <w:i w:val="0"/>
          <w:smallCaps w:val="0"/>
          <w:strike w:val="0"/>
          <w:sz w:val="24"/>
          <w:u w:val="single"/>
        </w:rPr>
        <w:t>and</w:t>
      </w:r>
      <w:r>
        <w:rPr>
          <w:b/>
          <w:i w:val="0"/>
          <w:smallCaps w:val="0"/>
          <w:strike w:val="0"/>
          <w:sz w:val="24"/>
          <w:u w:val="single"/>
        </w:rPr>
        <w:t xml:space="preserve"> usage </w:t>
      </w:r>
      <w:r>
        <w:rPr>
          <w:b/>
          <w:i w:val="0"/>
          <w:smallCaps w:val="0"/>
          <w:strike w:val="0"/>
          <w:sz w:val="24"/>
          <w:u w:val="single"/>
        </w:rPr>
        <w:t>establish</w:t>
      </w:r>
      <w:r>
        <w:rPr>
          <w:b/>
          <w:i w:val="0"/>
          <w:smallCaps w:val="0"/>
          <w:strike w:val="0"/>
          <w:sz w:val="24"/>
          <w:u w:val="single"/>
        </w:rPr>
        <w:t xml:space="preserve"> that </w:t>
      </w:r>
      <w:r>
        <w:rPr>
          <w:b/>
          <w:i w:val="0"/>
          <w:smallCaps w:val="0"/>
          <w:strike w:val="0"/>
          <w:sz w:val="24"/>
          <w:highlight w:val="cyan"/>
          <w:u w:val="single"/>
        </w:rPr>
        <w:t xml:space="preserve">“the” is “a </w:t>
      </w:r>
      <w:r>
        <w:rPr>
          <w:b/>
          <w:i w:val="0"/>
          <w:smallCaps w:val="0"/>
          <w:strike w:val="0"/>
          <w:sz w:val="24"/>
          <w:highlight w:val="cyan"/>
          <w:u w:val="single"/>
        </w:rPr>
        <w:t>function word</w:t>
      </w:r>
      <w:r>
        <w:rPr>
          <w:b/>
          <w:i w:val="0"/>
          <w:smallCaps w:val="0"/>
          <w:strike w:val="0"/>
          <w:sz w:val="24"/>
          <w:u w:val="single"/>
        </w:rPr>
        <w:t xml:space="preserve"> ... </w:t>
      </w:r>
      <w:r>
        <w:rPr>
          <w:b/>
          <w:i w:val="0"/>
          <w:smallCaps w:val="0"/>
          <w:strike w:val="0"/>
          <w:sz w:val="24"/>
          <w:highlight w:val="cyan"/>
          <w:u w:val="single"/>
        </w:rPr>
        <w:t>indicat</w:t>
      </w:r>
      <w:r>
        <w:rPr>
          <w:b/>
          <w:i w:val="0"/>
          <w:smallCaps w:val="0"/>
          <w:strike w:val="0"/>
          <w:sz w:val="24"/>
          <w:highlight w:val="cyan"/>
          <w:u w:val="single"/>
        </w:rPr>
        <w:t>[</w:t>
      </w:r>
      <w:r>
        <w:rPr>
          <w:b/>
          <w:i w:val="0"/>
          <w:smallCaps w:val="0"/>
          <w:strike w:val="0"/>
          <w:sz w:val="24"/>
          <w:highlight w:val="cyan"/>
          <w:u w:val="single"/>
        </w:rPr>
        <w:t>ing</w:t>
      </w:r>
      <w:r>
        <w:rPr>
          <w:b/>
          <w:i w:val="0"/>
          <w:smallCaps w:val="0"/>
          <w:strike w:val="0"/>
          <w:sz w:val="24"/>
          <w:highlight w:val="cyan"/>
          <w:u w:val="single"/>
        </w:rPr>
        <w:t>]</w:t>
      </w:r>
      <w:r>
        <w:rPr>
          <w:b/>
          <w:i w:val="0"/>
          <w:smallCaps w:val="0"/>
          <w:strike w:val="0"/>
          <w:sz w:val="24"/>
          <w:u w:val="single"/>
        </w:rPr>
        <w:t xml:space="preserve"> that </w:t>
      </w:r>
      <w:r>
        <w:rPr>
          <w:b/>
          <w:i w:val="0"/>
          <w:smallCaps w:val="0"/>
          <w:strike w:val="0"/>
          <w:sz w:val="24"/>
          <w:highlight w:val="cyan"/>
          <w:u w:val="single"/>
        </w:rPr>
        <w:t>a</w:t>
      </w:r>
      <w:r>
        <w:rPr>
          <w:b/>
          <w:i w:val="0"/>
          <w:smallCaps w:val="0"/>
          <w:strike w:val="0"/>
          <w:sz w:val="24"/>
          <w:u w:val="single"/>
        </w:rPr>
        <w:t xml:space="preserve"> following </w:t>
      </w:r>
      <w:r>
        <w:rPr>
          <w:b/>
          <w:i w:val="0"/>
          <w:smallCaps w:val="0"/>
          <w:strike w:val="0"/>
          <w:sz w:val="24"/>
          <w:highlight w:val="cyan"/>
          <w:u w:val="single"/>
        </w:rPr>
        <w:t>noun</w:t>
      </w:r>
      <w:r>
        <w:rPr>
          <w:b w:val="0"/>
          <w:i w:val="0"/>
          <w:smallCaps w:val="0"/>
          <w:strike w:val="0"/>
          <w:sz w:val="16"/>
          <w:u w:val="none"/>
        </w:rPr>
        <w:t xml:space="preserve"> or noun equivalent </w:t>
      </w:r>
      <w:r>
        <w:rPr>
          <w:b/>
          <w:i w:val="0"/>
          <w:smallCaps w:val="0"/>
          <w:strike w:val="0"/>
          <w:sz w:val="24"/>
          <w:u w:val="single"/>
        </w:rPr>
        <w:t xml:space="preserve">is </w:t>
      </w:r>
      <w:r>
        <w:rPr>
          <w:b/>
          <w:i w:val="0"/>
          <w:smallCaps w:val="0"/>
          <w:strike w:val="0"/>
          <w:sz w:val="24"/>
          <w:u w:val="single"/>
        </w:rPr>
        <w:t>definite</w:t>
      </w:r>
      <w:r>
        <w:rPr>
          <w:b/>
          <w:i w:val="0"/>
          <w:smallCaps w:val="0"/>
          <w:strike w:val="0"/>
          <w:sz w:val="24"/>
          <w:u w:val="single"/>
        </w:rPr>
        <w:t xml:space="preserve"> or </w:t>
      </w:r>
      <w:r>
        <w:rPr>
          <w:b/>
          <w:i w:val="0"/>
          <w:smallCaps w:val="0"/>
          <w:strike w:val="0"/>
          <w:sz w:val="24"/>
          <w:highlight w:val="cyan"/>
          <w:u w:val="single"/>
        </w:rPr>
        <w:t xml:space="preserve">has been </w:t>
      </w:r>
      <w:r>
        <w:rPr>
          <w:b/>
          <w:i w:val="0"/>
          <w:smallCaps w:val="0"/>
          <w:strike w:val="0"/>
          <w:sz w:val="24"/>
          <w:highlight w:val="cyan"/>
          <w:u w:val="single"/>
        </w:rPr>
        <w:t>previously specified</w:t>
      </w:r>
      <w:r>
        <w:rPr>
          <w:b/>
          <w:i w:val="0"/>
          <w:smallCaps w:val="0"/>
          <w:strike w:val="0"/>
          <w:sz w:val="24"/>
          <w:highlight w:val="cyan"/>
          <w:u w:val="single"/>
        </w:rPr>
        <w:t xml:space="preserve"> by context.”</w:t>
      </w:r>
      <w:r>
        <w:rPr>
          <w:b w:val="0"/>
          <w:i w:val="0"/>
          <w:smallCaps w:val="0"/>
          <w:strike w:val="0"/>
          <w:sz w:val="16"/>
          <w:u w:val="none"/>
        </w:rPr>
        <w:t xml:space="preserve"> Merriam-Webster's Collegiate Dictionary 1294 (11th ed. 2005). See also Work v. United States ex rel. McAlester-Edwards Co., 262 U.S. 200, 208, 43 </w:t>
      </w:r>
      <w:r>
        <w:rPr>
          <w:b w:val="0"/>
          <w:i w:val="0"/>
          <w:smallCaps w:val="0"/>
          <w:strike w:val="0"/>
          <w:sz w:val="16"/>
          <w:u w:val="none"/>
        </w:rPr>
        <w:t>S.Ct</w:t>
      </w:r>
      <w:r>
        <w:rPr>
          <w:b w:val="0"/>
          <w:i w:val="0"/>
          <w:smallCaps w:val="0"/>
          <w:strike w:val="0"/>
          <w:sz w:val="16"/>
          <w:u w:val="none"/>
        </w:rPr>
        <w:t xml:space="preserve">. 580, 67 </w:t>
      </w:r>
      <w:r>
        <w:rPr>
          <w:b w:val="0"/>
          <w:i w:val="0"/>
          <w:smallCaps w:val="0"/>
          <w:strike w:val="0"/>
          <w:sz w:val="16"/>
          <w:u w:val="none"/>
        </w:rPr>
        <w:t>L.Ed</w:t>
      </w:r>
      <w:r>
        <w:rPr>
          <w:b w:val="0"/>
          <w:i w:val="0"/>
          <w:smallCaps w:val="0"/>
          <w:strike w:val="0"/>
          <w:sz w:val="16"/>
          <w:u w:val="none"/>
        </w:rPr>
        <w:t>. 949 (1923) (Congress's “use of the definite article [in a reference to “the appraisement”] means an appraisement specifically provided for”). For “the alien”—in the clause “when the alien is released”—to have been previously specified, its scope must have been settled by the time the “when ... released” clause appears at the tail end of paragraph (1).</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