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‘The’ is not transformative.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Breyer ’20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[Stephen Breyer; June 30, 2020; Justice on the Supreme Court of the United States, dissenting; Westlaw, “United States Pat. &amp; Trademark Off. v. Booking.com B. V.,” 140 S. Ct. 2298]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That fact does not distinguish Goodyear. A generic term may suggest that it is associated with a specific entity. That does not render it </w:t>
      </w:r>
      <w:r>
        <w:rPr>
          <w:b w:val="0"/>
          <w:i w:val="0"/>
          <w:smallCaps w:val="0"/>
          <w:strike w:val="0"/>
          <w:sz w:val="16"/>
          <w:u w:val="none"/>
        </w:rPr>
        <w:t>nongeneric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For example, “Wine, Inc.” implies the existence of a specific legal entity incorporated under the laws of some State. Likewise, consumers may perceive “The Wine Company” to refer to some specific company rather than a genus of companies. But </w:t>
      </w:r>
      <w:r>
        <w:rPr>
          <w:b/>
          <w:i w:val="0"/>
          <w:smallCaps w:val="0"/>
          <w:strike w:val="0"/>
          <w:sz w:val="24"/>
          <w:u w:val="single"/>
        </w:rPr>
        <w:t xml:space="preserve">the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addition of the definite article “the”</w:t>
      </w:r>
      <w:r>
        <w:rPr>
          <w:b/>
          <w:i w:val="0"/>
          <w:smallCaps w:val="0"/>
          <w:strike w:val="0"/>
          <w:sz w:val="24"/>
          <w:u w:val="single"/>
        </w:rPr>
        <w:t xml:space="preserve"> </w:t>
      </w:r>
      <w:r>
        <w:rPr>
          <w:b/>
          <w:i w:val="0"/>
          <w:smallCaps w:val="0"/>
          <w:strike w:val="0"/>
          <w:sz w:val="24"/>
          <w:u w:val="single"/>
        </w:rPr>
        <w:t xml:space="preserve">obviously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does not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 xml:space="preserve"> transform the generic nature of that term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See In re The Computer Store, Inc., 211 U.S.P.Q. 72, 74–75 (TTAB 1981). True, these terms do not carry the exclusivity of a domain name. But that functional exclusivity does not negate the principle animating Goodyear: Terms that merely convey the nature of the producer's business should remain free for all to use. See 128 U.S. at 603, 9 </w:t>
      </w:r>
      <w:r>
        <w:rPr>
          <w:b w:val="0"/>
          <w:i w:val="0"/>
          <w:smallCaps w:val="0"/>
          <w:strike w:val="0"/>
          <w:sz w:val="16"/>
          <w:u w:val="none"/>
        </w:rPr>
        <w:t>S.Ct</w:t>
      </w:r>
      <w:r>
        <w:rPr>
          <w:b w:val="0"/>
          <w:i w:val="0"/>
          <w:smallCaps w:val="0"/>
          <w:strike w:val="0"/>
          <w:sz w:val="16"/>
          <w:u w:val="none"/>
        </w:rPr>
        <w:t>. 166.</w:t>
      </w:r>
    </w:p>
    <w:p>
      <w:pPr>
        <w:pStyle w:val="Caption"/>
      </w:pPr>
      <w:r>
        <w:t>Source: Topicality - Michigan 2024 STARTER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