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Should</w:t>
      </w:r>
      <w:r>
        <w:rPr>
          <w:b/>
          <w:i w:val="0"/>
          <w:smallCaps w:val="0"/>
          <w:strike w:val="0"/>
          <w:sz w:val="26"/>
          <w:u w:val="none"/>
        </w:rPr>
        <w:t>’</w:t>
      </w:r>
      <w:r>
        <w:rPr>
          <w:b/>
          <w:i w:val="0"/>
          <w:smallCaps w:val="0"/>
          <w:strike w:val="0"/>
          <w:sz w:val="26"/>
          <w:u w:val="none"/>
        </w:rPr>
        <w:t xml:space="preserve"> is obligatory, </w:t>
      </w:r>
      <w:r>
        <w:rPr>
          <w:b/>
          <w:i w:val="0"/>
          <w:smallCaps w:val="0"/>
          <w:strike w:val="0"/>
          <w:sz w:val="26"/>
          <w:u w:val="single"/>
        </w:rPr>
        <w:t>NOT</w:t>
      </w:r>
      <w:r>
        <w:rPr>
          <w:b/>
          <w:i w:val="0"/>
          <w:smallCaps w:val="0"/>
          <w:strike w:val="0"/>
          <w:sz w:val="26"/>
          <w:u w:val="none"/>
        </w:rPr>
        <w:t xml:space="preserve"> advisory.</w:t>
      </w:r>
    </w:p>
    <w:p>
      <w:pPr>
        <w:spacing w:after="80"/>
      </w:pPr>
      <w:r>
        <w:rPr>
          <w:b/>
          <w:i w:val="0"/>
          <w:smallCaps w:val="0"/>
          <w:strike w:val="0"/>
          <w:sz w:val="26"/>
          <w:u w:val="none"/>
        </w:rPr>
        <w:t>Riddle ’14</w:t>
      </w:r>
      <w:r>
        <w:rPr>
          <w:b w:val="0"/>
          <w:i w:val="0"/>
          <w:smallCaps w:val="0"/>
          <w:strike w:val="0"/>
          <w:sz w:val="20"/>
          <w:u w:val="none"/>
        </w:rPr>
        <w:t xml:space="preserve"> [Finis E; December 22; Justice on the Supreme Court of Oklahoma; Westlaw, “St. Louis &amp; S. F. R. Co. v. Brown,” 45 Okla. 143]</w:t>
      </w:r>
    </w:p>
    <w:p>
      <w:pPr>
        <w:spacing w:after="60"/>
      </w:pPr>
      <w:r>
        <w:rPr>
          <w:b/>
          <w:i w:val="0"/>
          <w:smallCaps w:val="0"/>
          <w:strike w:val="0"/>
          <w:sz w:val="24"/>
          <w:u w:val="single"/>
        </w:rPr>
        <w:t>The</w:t>
      </w:r>
      <w:r>
        <w:rPr>
          <w:b w:val="0"/>
          <w:i w:val="0"/>
          <w:smallCaps w:val="0"/>
          <w:strike w:val="0"/>
          <w:sz w:val="16"/>
          <w:u w:val="none"/>
        </w:rPr>
        <w:t xml:space="preserve"> specific grounds of </w:t>
      </w:r>
      <w:r>
        <w:rPr>
          <w:b/>
          <w:i w:val="0"/>
          <w:smallCaps w:val="0"/>
          <w:strike w:val="0"/>
          <w:sz w:val="24"/>
          <w:u w:val="single"/>
        </w:rPr>
        <w:t>objection</w:t>
      </w:r>
      <w:r>
        <w:rPr>
          <w:b w:val="0"/>
          <w:i w:val="0"/>
          <w:smallCaps w:val="0"/>
          <w:strike w:val="0"/>
          <w:sz w:val="16"/>
          <w:u w:val="none"/>
        </w:rPr>
        <w:t xml:space="preserve"> are that the court should have used the word “shall” instead of “should,” that </w:t>
      </w:r>
      <w:r>
        <w:rPr>
          <w:b/>
          <w:i w:val="0"/>
          <w:smallCaps w:val="0"/>
          <w:strike w:val="0"/>
          <w:sz w:val="24"/>
          <w:u w:val="single"/>
        </w:rPr>
        <w:t xml:space="preserve">the word “should” is </w:t>
      </w:r>
      <w:r>
        <w:rPr>
          <w:b/>
          <w:i w:val="0"/>
          <w:smallCaps w:val="0"/>
          <w:strike w:val="0"/>
          <w:sz w:val="24"/>
          <w:u w:val="single"/>
        </w:rPr>
        <w:t>merely advisory</w:t>
      </w:r>
      <w:r>
        <w:rPr>
          <w:b w:val="0"/>
          <w:i w:val="0"/>
          <w:smallCaps w:val="0"/>
          <w:strike w:val="0"/>
          <w:sz w:val="16"/>
          <w:u w:val="none"/>
        </w:rPr>
        <w:t xml:space="preserve">, and that the jury was left at its discretion in the matter of reduction of the damages. It has been said that </w:t>
      </w:r>
      <w:r>
        <w:rPr>
          <w:b/>
          <w:i w:val="0"/>
          <w:smallCaps w:val="0"/>
          <w:strike w:val="0"/>
          <w:sz w:val="24"/>
          <w:u w:val="single"/>
        </w:rPr>
        <w:t xml:space="preserve">the word “should” is </w:t>
      </w:r>
      <w:r>
        <w:rPr>
          <w:b/>
          <w:i w:val="0"/>
          <w:smallCaps w:val="0"/>
          <w:strike w:val="0"/>
          <w:sz w:val="24"/>
          <w:u w:val="single"/>
        </w:rPr>
        <w:t>the past tense</w:t>
      </w:r>
      <w:r>
        <w:rPr>
          <w:b/>
          <w:i w:val="0"/>
          <w:smallCaps w:val="0"/>
          <w:strike w:val="0"/>
          <w:sz w:val="24"/>
          <w:u w:val="single"/>
        </w:rPr>
        <w:t xml:space="preserve"> of the word “shall,”</w:t>
      </w:r>
      <w:r>
        <w:rPr>
          <w:b w:val="0"/>
          <w:i w:val="0"/>
          <w:smallCaps w:val="0"/>
          <w:strike w:val="0"/>
          <w:sz w:val="16"/>
          <w:u w:val="none"/>
        </w:rPr>
        <w:t xml:space="preserve"> and we think, in the connection in which it was used, the jury understood that it meant </w:t>
      </w:r>
      <w:r>
        <w:rPr>
          <w:b/>
          <w:i w:val="0"/>
          <w:smallCaps w:val="0"/>
          <w:strike w:val="0"/>
          <w:sz w:val="24"/>
          <w:u w:val="single"/>
        </w:rPr>
        <w:t>more than simply advisory</w:t>
      </w:r>
      <w:r>
        <w:rPr>
          <w:b w:val="0"/>
          <w:i w:val="0"/>
          <w:smallCaps w:val="0"/>
          <w:strike w:val="0"/>
          <w:sz w:val="16"/>
          <w:u w:val="none"/>
        </w:rPr>
        <w:t>.</w:t>
      </w:r>
    </w:p>
    <w:p>
      <w:pPr>
        <w:spacing w:after="60"/>
      </w:pPr>
      <w:r>
        <w:rPr>
          <w:b w:val="0"/>
          <w:i w:val="0"/>
          <w:smallCaps w:val="0"/>
          <w:strike w:val="0"/>
          <w:sz w:val="16"/>
          <w:u w:val="none"/>
        </w:rPr>
        <w:t xml:space="preserve">In the case of Smith v. State, 142 Ind. 288, 41 N. E. 595, the Supreme Court of Indiana held that </w:t>
      </w:r>
      <w:r>
        <w:rPr>
          <w:b/>
          <w:i w:val="0"/>
          <w:smallCaps w:val="0"/>
          <w:strike w:val="0"/>
          <w:sz w:val="24"/>
          <w:u w:val="single"/>
        </w:rPr>
        <w:t xml:space="preserve">it was </w:t>
      </w:r>
      <w:r>
        <w:rPr>
          <w:b/>
          <w:i w:val="0"/>
          <w:smallCaps w:val="0"/>
          <w:strike w:val="0"/>
          <w:sz w:val="24"/>
          <w:u w:val="single"/>
        </w:rPr>
        <w:t>more imperative</w:t>
      </w:r>
      <w:r>
        <w:rPr>
          <w:b/>
          <w:i w:val="0"/>
          <w:smallCaps w:val="0"/>
          <w:strike w:val="0"/>
          <w:sz w:val="24"/>
          <w:u w:val="single"/>
        </w:rPr>
        <w:t xml:space="preserve"> than the word “may.”</w:t>
      </w:r>
    </w:p>
    <w:p>
      <w:pPr>
        <w:spacing w:after="60"/>
      </w:pPr>
      <w:r>
        <w:rPr>
          <w:b w:val="0"/>
          <w:i w:val="0"/>
          <w:smallCaps w:val="0"/>
          <w:strike w:val="0"/>
          <w:sz w:val="16"/>
          <w:u w:val="none"/>
        </w:rPr>
        <w:t xml:space="preserve">In the case of Lynch v. Bates, 139 Ind. 206, 38 N. E. 806, where the court charged the jury that in passing upon the weight of the evidence, etc., they “should” take into consideration *1081 the interest of the witness, etc., the court reversed the case, holding that </w:t>
      </w:r>
      <w:r>
        <w:rPr>
          <w:b/>
          <w:i w:val="0"/>
          <w:smallCaps w:val="0"/>
          <w:strike w:val="0"/>
          <w:sz w:val="24"/>
          <w:u w:val="single"/>
        </w:rPr>
        <w:t>the word “should”</w:t>
      </w:r>
      <w:r>
        <w:rPr>
          <w:b w:val="0"/>
          <w:i w:val="0"/>
          <w:smallCaps w:val="0"/>
          <w:strike w:val="0"/>
          <w:sz w:val="16"/>
          <w:u w:val="none"/>
        </w:rPr>
        <w:t xml:space="preserve"> there </w:t>
      </w:r>
      <w:r>
        <w:rPr>
          <w:b/>
          <w:i w:val="0"/>
          <w:smallCaps w:val="0"/>
          <w:strike w:val="0"/>
          <w:sz w:val="24"/>
          <w:u w:val="single"/>
        </w:rPr>
        <w:t>was</w:t>
      </w:r>
      <w:r>
        <w:rPr>
          <w:b w:val="0"/>
          <w:i w:val="0"/>
          <w:smallCaps w:val="0"/>
          <w:strike w:val="0"/>
          <w:sz w:val="16"/>
          <w:u w:val="none"/>
        </w:rPr>
        <w:t xml:space="preserve"> too </w:t>
      </w:r>
      <w:r>
        <w:rPr>
          <w:b/>
          <w:i w:val="0"/>
          <w:smallCaps w:val="0"/>
          <w:strike w:val="0"/>
          <w:sz w:val="24"/>
          <w:u w:val="single"/>
        </w:rPr>
        <w:t>imperative</w:t>
      </w:r>
      <w:r>
        <w:rPr>
          <w:b w:val="0"/>
          <w:i w:val="0"/>
          <w:smallCaps w:val="0"/>
          <w:strike w:val="0"/>
          <w:sz w:val="16"/>
          <w:u w:val="none"/>
        </w:rPr>
        <w:t>.</w:t>
      </w:r>
    </w:p>
    <w:p>
      <w:pPr>
        <w:spacing w:after="60"/>
      </w:pPr>
      <w:r>
        <w:rPr>
          <w:b w:val="0"/>
          <w:i w:val="0"/>
          <w:smallCaps w:val="0"/>
          <w:strike w:val="0"/>
          <w:sz w:val="16"/>
          <w:u w:val="none"/>
        </w:rPr>
        <w:t xml:space="preserve">In the case of Durand's Adm'r v. N. Y. &amp; L. B. R. Co., 65 N. J. Law, 656, 48 Atl. 1013, the court held that </w:t>
      </w:r>
      <w:r>
        <w:rPr>
          <w:b/>
          <w:i w:val="0"/>
          <w:smallCaps w:val="0"/>
          <w:strike w:val="0"/>
          <w:sz w:val="24"/>
          <w:u w:val="single"/>
        </w:rPr>
        <w:t>the word “should” implies</w:t>
      </w:r>
      <w:r>
        <w:rPr>
          <w:b w:val="0"/>
          <w:i w:val="0"/>
          <w:smallCaps w:val="0"/>
          <w:strike w:val="0"/>
          <w:sz w:val="16"/>
          <w:u w:val="none"/>
        </w:rPr>
        <w:t xml:space="preserve"> the performance of some </w:t>
      </w:r>
      <w:r>
        <w:rPr>
          <w:b/>
          <w:i w:val="0"/>
          <w:smallCaps w:val="0"/>
          <w:strike w:val="0"/>
          <w:sz w:val="24"/>
          <w:u w:val="single"/>
        </w:rPr>
        <w:t>obligation or duty</w:t>
      </w:r>
      <w:r>
        <w:rPr>
          <w:b w:val="0"/>
          <w:i w:val="0"/>
          <w:smallCaps w:val="0"/>
          <w:strike w:val="0"/>
          <w:sz w:val="16"/>
          <w:u w:val="none"/>
        </w:rPr>
        <w:t xml:space="preserve">. Often the word “shall” </w:t>
      </w:r>
      <w:r>
        <w:rPr>
          <w:b w:val="0"/>
          <w:i w:val="0"/>
          <w:smallCaps w:val="0"/>
          <w:strike w:val="0"/>
          <w:sz w:val="16"/>
          <w:u w:val="none"/>
        </w:rPr>
        <w:t>is</w:t>
      </w:r>
      <w:r>
        <w:rPr>
          <w:b w:val="0"/>
          <w:i w:val="0"/>
          <w:smallCaps w:val="0"/>
          <w:strike w:val="0"/>
          <w:sz w:val="16"/>
          <w:u w:val="none"/>
        </w:rPr>
        <w:t xml:space="preserve"> used to mean “may.” So, it will be seen that </w:t>
      </w:r>
      <w:r>
        <w:rPr>
          <w:b w:val="0"/>
          <w:i w:val="0"/>
          <w:smallCaps w:val="0"/>
          <w:strike w:val="0"/>
          <w:sz w:val="16"/>
          <w:u w:val="none"/>
        </w:rPr>
        <w:t>either</w:t>
      </w:r>
      <w:r>
        <w:rPr>
          <w:b w:val="0"/>
          <w:i w:val="0"/>
          <w:smallCaps w:val="0"/>
          <w:strike w:val="0"/>
          <w:sz w:val="16"/>
          <w:u w:val="none"/>
        </w:rPr>
        <w:t xml:space="preserve"> of the terms cannot be considered </w:t>
      </w:r>
      <w:r>
        <w:rPr>
          <w:b w:val="0"/>
          <w:i w:val="0"/>
          <w:smallCaps w:val="0"/>
          <w:strike w:val="0"/>
          <w:sz w:val="16"/>
          <w:u w:val="none"/>
        </w:rPr>
        <w:t>abstractly, but</w:t>
      </w:r>
      <w:r>
        <w:rPr>
          <w:b w:val="0"/>
          <w:i w:val="0"/>
          <w:smallCaps w:val="0"/>
          <w:strike w:val="0"/>
          <w:sz w:val="16"/>
          <w:u w:val="none"/>
        </w:rPr>
        <w:t xml:space="preserve"> must be considered in connection with the subject-matter and sense in which it is used.</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