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Should</w:t>
      </w:r>
      <w:r>
        <w:rPr>
          <w:b/>
          <w:i w:val="0"/>
          <w:smallCaps w:val="0"/>
          <w:strike w:val="0"/>
          <w:sz w:val="26"/>
          <w:u w:val="none"/>
        </w:rPr>
        <w:t>’</w:t>
      </w:r>
      <w:r>
        <w:rPr>
          <w:b/>
          <w:i w:val="0"/>
          <w:smallCaps w:val="0"/>
          <w:strike w:val="0"/>
          <w:sz w:val="26"/>
          <w:u w:val="none"/>
        </w:rPr>
        <w:t xml:space="preserve"> is </w:t>
      </w:r>
      <w:r>
        <w:rPr>
          <w:b/>
          <w:i w:val="0"/>
          <w:smallCaps w:val="0"/>
          <w:strike w:val="0"/>
          <w:sz w:val="26"/>
          <w:u w:val="single"/>
        </w:rPr>
        <w:t>advisory</w:t>
      </w:r>
      <w:r>
        <w:rPr>
          <w:b/>
          <w:i w:val="0"/>
          <w:smallCaps w:val="0"/>
          <w:strike w:val="0"/>
          <w:sz w:val="26"/>
          <w:u w:val="none"/>
        </w:rPr>
        <w:t xml:space="preserve">, not certain. It also </w:t>
      </w:r>
      <w:r>
        <w:rPr>
          <w:b/>
          <w:i w:val="0"/>
          <w:smallCaps w:val="0"/>
          <w:strike w:val="0"/>
          <w:sz w:val="26"/>
          <w:u w:val="single"/>
        </w:rPr>
        <w:t>equals</w:t>
      </w:r>
      <w:r>
        <w:rPr>
          <w:b/>
          <w:i w:val="0"/>
          <w:smallCaps w:val="0"/>
          <w:strike w:val="0"/>
          <w:sz w:val="26"/>
          <w:u w:val="none"/>
        </w:rPr>
        <w:t xml:space="preserve"> </w:t>
      </w:r>
      <w:r>
        <w:rPr>
          <w:b/>
          <w:i w:val="0"/>
          <w:smallCaps w:val="0"/>
          <w:strike w:val="0"/>
          <w:sz w:val="26"/>
          <w:u w:val="none"/>
        </w:rPr>
        <w:t>‘</w:t>
      </w:r>
      <w:r>
        <w:rPr>
          <w:b/>
          <w:i w:val="0"/>
          <w:smallCaps w:val="0"/>
          <w:strike w:val="0"/>
          <w:sz w:val="26"/>
          <w:u w:val="none"/>
        </w:rPr>
        <w:t>ought.</w:t>
      </w:r>
      <w:r>
        <w:rPr>
          <w:b/>
          <w:i w:val="0"/>
          <w:smallCaps w:val="0"/>
          <w:strike w:val="0"/>
          <w:sz w:val="26"/>
          <w:u w:val="none"/>
        </w:rPr>
        <w:t>’</w:t>
      </w:r>
    </w:p>
    <w:p>
      <w:pPr>
        <w:spacing w:after="80"/>
      </w:pPr>
      <w:r>
        <w:rPr>
          <w:b/>
          <w:i w:val="0"/>
          <w:smallCaps w:val="0"/>
          <w:strike w:val="0"/>
          <w:sz w:val="26"/>
          <w:u w:val="none"/>
        </w:rPr>
        <w:t>Richman ’16</w:t>
      </w:r>
      <w:r>
        <w:rPr>
          <w:b w:val="0"/>
          <w:i w:val="0"/>
          <w:smallCaps w:val="0"/>
          <w:strike w:val="0"/>
          <w:sz w:val="20"/>
          <w:u w:val="none"/>
        </w:rPr>
        <w:t xml:space="preserve"> [James; August 17; Judge on the Second Circuit, California’s Court of Appeals; Westlaw, “Marin Assn. of Pub. Emps. v. Marin </w:t>
      </w:r>
      <w:r>
        <w:rPr>
          <w:b w:val="0"/>
          <w:i w:val="0"/>
          <w:smallCaps w:val="0"/>
          <w:strike w:val="0"/>
          <w:sz w:val="20"/>
          <w:u w:val="none"/>
        </w:rPr>
        <w:t>Cty</w:t>
      </w:r>
      <w:r>
        <w:rPr>
          <w:b w:val="0"/>
          <w:i w:val="0"/>
          <w:smallCaps w:val="0"/>
          <w:strike w:val="0"/>
          <w:sz w:val="20"/>
          <w:u w:val="none"/>
        </w:rPr>
        <w:t>. Employees' Ret. Assn.,” 2 Cal. App. 5th 674]</w:t>
      </w:r>
    </w:p>
    <w:p>
      <w:pPr>
        <w:spacing w:after="60"/>
      </w:pPr>
      <w:r>
        <w:rPr>
          <w:b w:val="0"/>
          <w:i w:val="0"/>
          <w:smallCaps w:val="0"/>
          <w:strike w:val="0"/>
          <w:sz w:val="16"/>
          <w:u w:val="none"/>
        </w:rPr>
        <w:t xml:space="preserve">There is, of course, no bar to the Supreme Court adopting a Court of Appeal's reasoning as its own. Yet there is legitimate reason to question whether that was what the Supreme Court intended in 1983. First, as just shown, </w:t>
      </w:r>
      <w:r>
        <w:rPr>
          <w:b/>
          <w:i w:val="0"/>
          <w:smallCaps w:val="0"/>
          <w:strike w:val="0"/>
          <w:sz w:val="24"/>
          <w:u w:val="single"/>
        </w:rPr>
        <w:t>only the least authoritative</w:t>
      </w:r>
      <w:r>
        <w:rPr>
          <w:b/>
          <w:i w:val="0"/>
          <w:smallCaps w:val="0"/>
          <w:strike w:val="0"/>
          <w:sz w:val="24"/>
          <w:u w:val="single"/>
        </w:rPr>
        <w:t xml:space="preserve"> of the three sources</w:t>
      </w:r>
      <w:r>
        <w:rPr>
          <w:b w:val="0"/>
          <w:i w:val="0"/>
          <w:smallCaps w:val="0"/>
          <w:strike w:val="0"/>
          <w:sz w:val="16"/>
          <w:u w:val="none"/>
        </w:rPr>
        <w:t xml:space="preserve"> cited **385 </w:t>
      </w:r>
      <w:r>
        <w:rPr>
          <w:b/>
          <w:i w:val="0"/>
          <w:smallCaps w:val="0"/>
          <w:strike w:val="0"/>
          <w:sz w:val="24"/>
          <w:u w:val="single"/>
        </w:rPr>
        <w:t>actually supports</w:t>
      </w:r>
      <w:r>
        <w:rPr>
          <w:b/>
          <w:i w:val="0"/>
          <w:smallCaps w:val="0"/>
          <w:strike w:val="0"/>
          <w:sz w:val="24"/>
          <w:u w:val="single"/>
        </w:rPr>
        <w:t xml:space="preserve"> the word “must,”</w:t>
      </w:r>
      <w:r>
        <w:rPr>
          <w:b w:val="0"/>
          <w:i w:val="0"/>
          <w:smallCaps w:val="0"/>
          <w:strike w:val="0"/>
          <w:sz w:val="16"/>
          <w:u w:val="none"/>
        </w:rPr>
        <w:t xml:space="preserve"> while </w:t>
      </w:r>
      <w:r>
        <w:rPr>
          <w:b/>
          <w:i w:val="0"/>
          <w:smallCaps w:val="0"/>
          <w:strike w:val="0"/>
          <w:sz w:val="24"/>
          <w:u w:val="single"/>
        </w:rPr>
        <w:t>the</w:t>
      </w:r>
      <w:r>
        <w:rPr>
          <w:b w:val="0"/>
          <w:i w:val="0"/>
          <w:smallCaps w:val="0"/>
          <w:strike w:val="0"/>
          <w:sz w:val="16"/>
          <w:u w:val="none"/>
        </w:rPr>
        <w:t xml:space="preserve"> two </w:t>
      </w:r>
      <w:r>
        <w:rPr>
          <w:b/>
          <w:i w:val="0"/>
          <w:smallCaps w:val="0"/>
          <w:strike w:val="0"/>
          <w:sz w:val="24"/>
          <w:u w:val="single"/>
        </w:rPr>
        <w:t>Supreme Court decisions employ “</w:t>
      </w:r>
      <w:r>
        <w:rPr>
          <w:b/>
          <w:i w:val="0"/>
          <w:smallCaps w:val="0"/>
          <w:strike w:val="0"/>
          <w:sz w:val="24"/>
          <w:u w:val="single"/>
        </w:rPr>
        <w:t>should</w:t>
      </w:r>
      <w:r>
        <w:rPr>
          <w:b/>
          <w:i w:val="0"/>
          <w:smallCaps w:val="0"/>
          <w:strike w:val="0"/>
          <w:sz w:val="24"/>
          <w:u w:val="single"/>
        </w:rPr>
        <w:t>.”</w:t>
      </w:r>
      <w:r>
        <w:rPr>
          <w:b w:val="0"/>
          <w:i w:val="0"/>
          <w:smallCaps w:val="0"/>
          <w:strike w:val="0"/>
          <w:sz w:val="16"/>
          <w:u w:val="none"/>
        </w:rPr>
        <w:t xml:space="preserve"> Second, barely a month later, the Supreme Court—speaking though the same justice—filed another decision which used the “should” formulation from the 1955 Allen decision as quoted in Abbott.20 Third, the 1983 Allen decision involved retirees (and Flournoy the widow of a retiree), who historically receive a heightened degree of judicial protection. (See fn. 19, ante.) Fourth, and most significantly, </w:t>
      </w:r>
      <w:r>
        <w:rPr>
          <w:b/>
          <w:i w:val="0"/>
          <w:smallCaps w:val="0"/>
          <w:strike w:val="0"/>
          <w:sz w:val="24"/>
          <w:u w:val="single"/>
        </w:rPr>
        <w:t xml:space="preserve">the “must” formulation has never been reiterated by the Supreme Court, which has </w:t>
      </w:r>
      <w:r>
        <w:rPr>
          <w:b/>
          <w:i w:val="0"/>
          <w:smallCaps w:val="0"/>
          <w:strike w:val="0"/>
          <w:sz w:val="24"/>
          <w:u w:val="single"/>
        </w:rPr>
        <w:t>instead uniformly employed</w:t>
      </w:r>
      <w:r>
        <w:rPr>
          <w:b/>
          <w:i w:val="0"/>
          <w:smallCaps w:val="0"/>
          <w:strike w:val="0"/>
          <w:sz w:val="24"/>
          <w:u w:val="single"/>
        </w:rPr>
        <w:t xml:space="preserve"> the “should”</w:t>
      </w:r>
      <w:r>
        <w:rPr>
          <w:b w:val="0"/>
          <w:i w:val="0"/>
          <w:smallCaps w:val="0"/>
          <w:strike w:val="0"/>
          <w:sz w:val="16"/>
          <w:u w:val="none"/>
        </w:rPr>
        <w:t xml:space="preserve"> *699 </w:t>
      </w:r>
      <w:r>
        <w:rPr>
          <w:b/>
          <w:i w:val="0"/>
          <w:smallCaps w:val="0"/>
          <w:strike w:val="0"/>
          <w:sz w:val="24"/>
          <w:u w:val="single"/>
        </w:rPr>
        <w:t>language</w:t>
      </w:r>
      <w:r>
        <w:rPr>
          <w:b w:val="0"/>
          <w:i w:val="0"/>
          <w:smallCaps w:val="0"/>
          <w:strike w:val="0"/>
          <w:sz w:val="16"/>
          <w:u w:val="none"/>
        </w:rPr>
        <w:t xml:space="preserve"> from the 1955 Allen decision. (Olson v. Cory, supra, 27 Cal.3d 532, 541, 178 </w:t>
      </w:r>
      <w:r>
        <w:rPr>
          <w:b w:val="0"/>
          <w:i w:val="0"/>
          <w:smallCaps w:val="0"/>
          <w:strike w:val="0"/>
          <w:sz w:val="16"/>
          <w:u w:val="none"/>
        </w:rPr>
        <w:t>Cal.Rptr</w:t>
      </w:r>
      <w:r>
        <w:rPr>
          <w:b w:val="0"/>
          <w:i w:val="0"/>
          <w:smallCaps w:val="0"/>
          <w:strike w:val="0"/>
          <w:sz w:val="16"/>
          <w:u w:val="none"/>
        </w:rPr>
        <w:t xml:space="preserve">. 568, 636 P.2d 532 [“Although an employee does not obtain any ‘absolute right to fixed or specific benefits ... there [are] strict limitation[s] on the conditions which may modify the pension system in effect during employment.’ [Citation.] Such modifications must be reasonable and any </w:t>
      </w:r>
      <w:r>
        <w:rPr>
          <w:b w:val="0"/>
          <w:i w:val="0"/>
          <w:smallCaps w:val="0"/>
          <w:strike w:val="0"/>
          <w:sz w:val="16"/>
          <w:u w:val="none"/>
        </w:rPr>
        <w:t>‘ “</w:t>
      </w:r>
      <w:r>
        <w:rPr>
          <w:b w:val="0"/>
          <w:i w:val="0"/>
          <w:smallCaps w:val="0"/>
          <w:strike w:val="0"/>
          <w:sz w:val="16"/>
          <w:u w:val="none"/>
        </w:rPr>
        <w:t xml:space="preserve">changes in a pension plan which result in disadvantage to employees should be accompanied by comparable new advantages” ’ ”]; Legislature v. Eu (1991) 54 Cal.3d 492, 529–530, 286 </w:t>
      </w:r>
      <w:r>
        <w:rPr>
          <w:b w:val="0"/>
          <w:i w:val="0"/>
          <w:smallCaps w:val="0"/>
          <w:strike w:val="0"/>
          <w:sz w:val="16"/>
          <w:u w:val="none"/>
        </w:rPr>
        <w:t>Cal.Rptr</w:t>
      </w:r>
      <w:r>
        <w:rPr>
          <w:b w:val="0"/>
          <w:i w:val="0"/>
          <w:smallCaps w:val="0"/>
          <w:strike w:val="0"/>
          <w:sz w:val="16"/>
          <w:u w:val="none"/>
        </w:rPr>
        <w:t>. 283, 816 P.2d 1309 [quoting Olson]; City of Huntington Beach v. Board of Administration (1992) 4 Cal.4th 462, 472, 14 Cal.Rptr.2d 514, 841 P.2d 1034 [“changes in a pension plan which result in disadvantage to employees should be accompanied by comparable new advantages,” citing Allen v. City of Long Beach, supra, 45 Cal.2d 128, 131, 287 P.2d 765].)</w:t>
      </w:r>
    </w:p>
    <w:p>
      <w:pPr>
        <w:spacing w:after="60"/>
      </w:pPr>
      <w:r>
        <w:rPr>
          <w:b w:val="0"/>
          <w:i w:val="0"/>
          <w:smallCaps w:val="0"/>
          <w:strike w:val="0"/>
          <w:sz w:val="16"/>
          <w:u w:val="none"/>
        </w:rPr>
        <w:t xml:space="preserve">It thus appears unlikely that the Supreme Court's use of “must” in the 1983 Allen decision was intended to herald a fundamental doctrinal shift. </w:t>
      </w:r>
      <w:r>
        <w:rPr>
          <w:b/>
          <w:i w:val="0"/>
          <w:smallCaps w:val="0"/>
          <w:strike w:val="0"/>
          <w:sz w:val="24"/>
          <w:u w:val="single"/>
        </w:rPr>
        <w:t xml:space="preserve">“Should,” not “must,” remains the </w:t>
      </w:r>
      <w:r>
        <w:rPr>
          <w:b/>
          <w:i w:val="0"/>
          <w:smallCaps w:val="0"/>
          <w:strike w:val="0"/>
          <w:sz w:val="24"/>
          <w:u w:val="single"/>
        </w:rPr>
        <w:t>court's preferred expression</w:t>
      </w:r>
      <w:r>
        <w:rPr>
          <w:b w:val="0"/>
          <w:i w:val="0"/>
          <w:smallCaps w:val="0"/>
          <w:strike w:val="0"/>
          <w:sz w:val="16"/>
          <w:u w:val="none"/>
        </w:rPr>
        <w:t xml:space="preserve">. And </w:t>
      </w:r>
      <w:r>
        <w:rPr>
          <w:b/>
          <w:i w:val="0"/>
          <w:smallCaps w:val="0"/>
          <w:strike w:val="0"/>
          <w:sz w:val="24"/>
          <w:u w:val="single"/>
        </w:rPr>
        <w:t xml:space="preserve">“should” does not convey </w:t>
      </w:r>
      <w:r>
        <w:rPr>
          <w:b/>
          <w:i w:val="0"/>
          <w:smallCaps w:val="0"/>
          <w:strike w:val="0"/>
          <w:sz w:val="24"/>
          <w:u w:val="single"/>
        </w:rPr>
        <w:t>imperative obligation</w:t>
      </w:r>
      <w:r>
        <w:rPr>
          <w:b/>
          <w:i w:val="0"/>
          <w:smallCaps w:val="0"/>
          <w:strike w:val="0"/>
          <w:sz w:val="24"/>
          <w:u w:val="single"/>
        </w:rPr>
        <w:t xml:space="preserve">, </w:t>
      </w:r>
      <w:r>
        <w:rPr>
          <w:b/>
          <w:i w:val="0"/>
          <w:smallCaps w:val="0"/>
          <w:strike w:val="0"/>
          <w:sz w:val="24"/>
          <w:u w:val="single"/>
        </w:rPr>
        <w:t>no more compulsion</w:t>
      </w:r>
      <w:r>
        <w:rPr>
          <w:b/>
          <w:i w:val="0"/>
          <w:smallCaps w:val="0"/>
          <w:strike w:val="0"/>
          <w:sz w:val="24"/>
          <w:u w:val="single"/>
        </w:rPr>
        <w:t xml:space="preserve"> than “ought.”</w:t>
      </w:r>
      <w:r>
        <w:rPr>
          <w:b w:val="0"/>
          <w:i w:val="0"/>
          <w:smallCaps w:val="0"/>
          <w:strike w:val="0"/>
          <w:sz w:val="16"/>
          <w:u w:val="none"/>
        </w:rPr>
        <w:t xml:space="preserve"> (Lashley v. Koerber (1945) 26 Cal.2d 83, 90, 156 P.2d 441; see People v. Webb (1986) 186 Cal.App.3d 401, 409, fn. 2, 230 </w:t>
      </w:r>
      <w:r>
        <w:rPr>
          <w:b w:val="0"/>
          <w:i w:val="0"/>
          <w:smallCaps w:val="0"/>
          <w:strike w:val="0"/>
          <w:sz w:val="16"/>
          <w:u w:val="none"/>
        </w:rPr>
        <w:t>Cal.Rptr</w:t>
      </w:r>
      <w:r>
        <w:rPr>
          <w:b w:val="0"/>
          <w:i w:val="0"/>
          <w:smallCaps w:val="0"/>
          <w:strike w:val="0"/>
          <w:sz w:val="16"/>
          <w:u w:val="none"/>
        </w:rPr>
        <w:t>. 755 [</w:t>
      </w:r>
      <w:r>
        <w:rPr>
          <w:b/>
          <w:i w:val="0"/>
          <w:smallCaps w:val="0"/>
          <w:strike w:val="0"/>
          <w:sz w:val="24"/>
          <w:u w:val="single"/>
        </w:rPr>
        <w:t xml:space="preserve">“the word ‘should’ </w:t>
      </w:r>
      <w:r>
        <w:rPr>
          <w:b/>
          <w:i w:val="0"/>
          <w:smallCaps w:val="0"/>
          <w:strike w:val="0"/>
          <w:sz w:val="24"/>
          <w:u w:val="single"/>
        </w:rPr>
        <w:t>is</w:t>
      </w:r>
      <w:r>
        <w:rPr>
          <w:b/>
          <w:i w:val="0"/>
          <w:smallCaps w:val="0"/>
          <w:strike w:val="0"/>
          <w:sz w:val="24"/>
          <w:u w:val="single"/>
        </w:rPr>
        <w:t xml:space="preserve"> </w:t>
      </w:r>
      <w:r>
        <w:rPr>
          <w:b/>
          <w:i w:val="0"/>
          <w:smallCaps w:val="0"/>
          <w:strike w:val="0"/>
          <w:sz w:val="24"/>
          <w:u w:val="single"/>
        </w:rPr>
        <w:t>advisory only</w:t>
      </w:r>
      <w:r>
        <w:rPr>
          <w:b w:val="0"/>
          <w:i w:val="0"/>
          <w:smallCaps w:val="0"/>
          <w:strike w:val="0"/>
          <w:sz w:val="16"/>
          <w:u w:val="none"/>
        </w:rPr>
        <w:t xml:space="preserve"> </w:t>
      </w:r>
      <w:r>
        <w:rPr>
          <w:b/>
          <w:i w:val="0"/>
          <w:smallCaps w:val="0"/>
          <w:strike w:val="0"/>
          <w:sz w:val="24"/>
          <w:u w:val="single"/>
        </w:rPr>
        <w:t>and not mandatory”</w:t>
      </w:r>
      <w:r>
        <w:rPr>
          <w:b w:val="0"/>
          <w:i w:val="0"/>
          <w:smallCaps w:val="0"/>
          <w:strike w:val="0"/>
          <w:sz w:val="16"/>
          <w:u w:val="none"/>
        </w:rPr>
        <w:t xml:space="preserve">].) </w:t>
      </w:r>
      <w:r>
        <w:rPr>
          <w:b/>
          <w:i w:val="0"/>
          <w:smallCaps w:val="0"/>
          <w:strike w:val="0"/>
          <w:sz w:val="24"/>
          <w:u w:val="single"/>
        </w:rPr>
        <w:t xml:space="preserve">In </w:t>
      </w:r>
      <w:r>
        <w:rPr>
          <w:b/>
          <w:i w:val="0"/>
          <w:smallCaps w:val="0"/>
          <w:strike w:val="0"/>
          <w:sz w:val="24"/>
          <w:u w:val="single"/>
        </w:rPr>
        <w:t>plain effect</w:t>
      </w:r>
      <w:r>
        <w:rPr>
          <w:b/>
          <w:i w:val="0"/>
          <w:smallCaps w:val="0"/>
          <w:strike w:val="0"/>
          <w:sz w:val="24"/>
          <w:u w:val="single"/>
        </w:rPr>
        <w:t>, “should” is “</w:t>
      </w:r>
      <w:r>
        <w:rPr>
          <w:b/>
          <w:i w:val="0"/>
          <w:smallCaps w:val="0"/>
          <w:strike w:val="0"/>
          <w:sz w:val="24"/>
          <w:u w:val="single"/>
        </w:rPr>
        <w:t>a recommendation</w:t>
      </w:r>
      <w:r>
        <w:rPr>
          <w:b/>
          <w:i w:val="0"/>
          <w:smallCaps w:val="0"/>
          <w:strike w:val="0"/>
          <w:sz w:val="24"/>
          <w:u w:val="single"/>
        </w:rPr>
        <w:t xml:space="preserve">, not ... </w:t>
      </w:r>
      <w:r>
        <w:rPr>
          <w:b/>
          <w:i w:val="0"/>
          <w:smallCaps w:val="0"/>
          <w:strike w:val="0"/>
          <w:sz w:val="24"/>
          <w:u w:val="single"/>
        </w:rPr>
        <w:t>a mandate</w:t>
      </w:r>
      <w:r>
        <w:rPr>
          <w:b/>
          <w:i w:val="0"/>
          <w:smallCaps w:val="0"/>
          <w:strike w:val="0"/>
          <w:sz w:val="24"/>
          <w:u w:val="single"/>
        </w:rPr>
        <w:t>.”</w:t>
      </w:r>
      <w:r>
        <w:rPr>
          <w:b w:val="0"/>
          <w:i w:val="0"/>
          <w:smallCaps w:val="0"/>
          <w:strike w:val="0"/>
          <w:sz w:val="16"/>
          <w:u w:val="none"/>
        </w:rPr>
        <w:t xml:space="preserve"> (Cuevas v. Superior Court (1976) 58 Cal.App.3d 406, 409, 130 </w:t>
      </w:r>
      <w:r>
        <w:rPr>
          <w:b w:val="0"/>
          <w:i w:val="0"/>
          <w:smallCaps w:val="0"/>
          <w:strike w:val="0"/>
          <w:sz w:val="16"/>
          <w:u w:val="none"/>
        </w:rPr>
        <w:t>Cal.Rptr</w:t>
      </w:r>
      <w:r>
        <w:rPr>
          <w:b w:val="0"/>
          <w:i w:val="0"/>
          <w:smallCaps w:val="0"/>
          <w:strike w:val="0"/>
          <w:sz w:val="16"/>
          <w:u w:val="none"/>
        </w:rPr>
        <w:t>. 238.)</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