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‘Should’ refers to the future.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Brown ’8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[Mary Ann Brown; May 14; Judge on the Court of Appeals of Iowa; Westlaw, “In re Est. of Guthrie,” 752 N.W.2d 452]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Brock and Kaitlyn look to </w:t>
      </w:r>
      <w:r>
        <w:rPr>
          <w:b/>
          <w:i w:val="0"/>
          <w:smallCaps w:val="0"/>
          <w:strike w:val="0"/>
          <w:sz w:val="24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u w:val="single"/>
        </w:rPr>
        <w:t>word</w:t>
      </w:r>
      <w:r>
        <w:rPr>
          <w:b/>
          <w:i w:val="0"/>
          <w:smallCaps w:val="0"/>
          <w:strike w:val="0"/>
          <w:sz w:val="24"/>
          <w:u w:val="single"/>
        </w:rPr>
        <w:t xml:space="preserve"> “should” in the phrase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“in the event any of my children should predecease me” and claim the district court improperly found the word </w:t>
      </w:r>
      <w:r>
        <w:rPr>
          <w:b/>
          <w:i w:val="0"/>
          <w:smallCaps w:val="0"/>
          <w:strike w:val="0"/>
          <w:sz w:val="24"/>
          <w:u w:val="single"/>
        </w:rPr>
        <w:t xml:space="preserve">looked to the </w:t>
      </w:r>
      <w:r>
        <w:rPr>
          <w:b/>
          <w:i w:val="0"/>
          <w:smallCaps w:val="0"/>
          <w:strike w:val="0"/>
          <w:sz w:val="24"/>
          <w:u w:val="single"/>
        </w:rPr>
        <w:t>future</w:t>
      </w:r>
      <w:r>
        <w:rPr>
          <w:b/>
          <w:i w:val="0"/>
          <w:smallCaps w:val="0"/>
          <w:strike w:val="0"/>
          <w:sz w:val="24"/>
          <w:u w:val="single"/>
        </w:rPr>
        <w:t xml:space="preserve">. They claim the word should be interpreted as the </w:t>
      </w:r>
      <w:r>
        <w:rPr>
          <w:b/>
          <w:i w:val="0"/>
          <w:smallCaps w:val="0"/>
          <w:strike w:val="0"/>
          <w:sz w:val="24"/>
          <w:u w:val="single"/>
        </w:rPr>
        <w:t>past tense</w:t>
      </w:r>
      <w:r>
        <w:rPr>
          <w:b/>
          <w:i w:val="0"/>
          <w:smallCaps w:val="0"/>
          <w:strike w:val="0"/>
          <w:sz w:val="24"/>
          <w:u w:val="single"/>
        </w:rPr>
        <w:t xml:space="preserve"> of “shall” to imply a duty or obligation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See Black's Law Dictionary 1379 (6th ed.1990). </w:t>
      </w:r>
      <w:r>
        <w:rPr>
          <w:b/>
          <w:i w:val="0"/>
          <w:smallCaps w:val="0"/>
          <w:strike w:val="0"/>
          <w:sz w:val="24"/>
          <w:u w:val="single"/>
        </w:rPr>
        <w:t xml:space="preserve">Looking at </w:t>
      </w:r>
      <w:r>
        <w:rPr>
          <w:b/>
          <w:i w:val="0"/>
          <w:smallCaps w:val="0"/>
          <w:strike w:val="0"/>
          <w:sz w:val="24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u w:val="single"/>
        </w:rPr>
        <w:t>phrase as a whole, however</w:t>
      </w:r>
      <w:r>
        <w:rPr>
          <w:b/>
          <w:i w:val="0"/>
          <w:smallCaps w:val="0"/>
          <w:strike w:val="0"/>
          <w:sz w:val="24"/>
          <w:u w:val="single"/>
        </w:rPr>
        <w:t xml:space="preserve">, rather than at a </w:t>
      </w:r>
      <w:r>
        <w:rPr>
          <w:b/>
          <w:i w:val="0"/>
          <w:smallCaps w:val="0"/>
          <w:strike w:val="0"/>
          <w:sz w:val="24"/>
          <w:u w:val="single"/>
        </w:rPr>
        <w:t>single word</w:t>
      </w:r>
      <w:r>
        <w:rPr>
          <w:b/>
          <w:i w:val="0"/>
          <w:smallCaps w:val="0"/>
          <w:strike w:val="0"/>
          <w:sz w:val="24"/>
          <w:u w:val="single"/>
        </w:rPr>
        <w:t xml:space="preserve">, we determine the phrase is considering </w:t>
      </w:r>
      <w:r>
        <w:rPr>
          <w:b/>
          <w:i w:val="0"/>
          <w:smallCaps w:val="0"/>
          <w:strike w:val="0"/>
          <w:sz w:val="24"/>
          <w:u w:val="single"/>
        </w:rPr>
        <w:t>possible future events</w:t>
      </w:r>
      <w:r>
        <w:rPr>
          <w:b w:val="0"/>
          <w:i w:val="0"/>
          <w:smallCaps w:val="0"/>
          <w:strike w:val="0"/>
          <w:sz w:val="16"/>
          <w:u w:val="none"/>
        </w:rPr>
        <w:t>. See In re Estate of Grulke, 546 N.W.2d 626, 627 (Iowa Ct.App.1996) (noting we must ascertain a testator's intent from the entire will).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