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means topical plans </w:t>
      </w:r>
      <w:r>
        <w:rPr>
          <w:b/>
          <w:i w:val="0"/>
          <w:smallCaps w:val="0"/>
          <w:strike w:val="0"/>
          <w:sz w:val="26"/>
          <w:u w:val="single"/>
        </w:rPr>
        <w:t>increase</w:t>
      </w:r>
      <w:r>
        <w:rPr>
          <w:b/>
          <w:i w:val="0"/>
          <w:smallCaps w:val="0"/>
          <w:strike w:val="0"/>
          <w:sz w:val="26"/>
          <w:u w:val="none"/>
        </w:rPr>
        <w:t xml:space="preserve"> the number of filings by 10% or more. </w:t>
      </w:r>
    </w:p>
    <w:p>
      <w:pPr>
        <w:spacing w:after="80"/>
      </w:pPr>
      <w:r>
        <w:rPr>
          <w:b/>
          <w:i w:val="0"/>
          <w:smallCaps w:val="0"/>
          <w:strike w:val="0"/>
          <w:sz w:val="26"/>
          <w:u w:val="none"/>
        </w:rPr>
        <w:t xml:space="preserve">U.S. Federal Judiciary ’20 </w:t>
      </w:r>
      <w:r>
        <w:rPr>
          <w:b w:val="0"/>
          <w:i w:val="0"/>
          <w:smallCaps w:val="0"/>
          <w:strike w:val="0"/>
          <w:sz w:val="20"/>
          <w:u w:val="none"/>
        </w:rPr>
        <w:t>[</w:t>
      </w:r>
      <w:r>
        <w:rPr>
          <w:b w:val="0"/>
          <w:i w:val="0"/>
          <w:smallCaps w:val="0"/>
          <w:strike w:val="0"/>
          <w:sz w:val="20"/>
          <w:u w:val="none"/>
        </w:rPr>
        <w:t>maintained by the Administrative Office of the U.S. Courts on behalf of the Federal Judiciary</w:t>
      </w:r>
      <w:r>
        <w:rPr>
          <w:b w:val="0"/>
          <w:i w:val="0"/>
          <w:smallCaps w:val="0"/>
          <w:strike w:val="0"/>
          <w:sz w:val="20"/>
          <w:u w:val="none"/>
        </w:rPr>
        <w:t xml:space="preserve">; February 13; </w:t>
      </w:r>
      <w:r>
        <w:rPr>
          <w:b w:val="0"/>
          <w:i w:val="0"/>
          <w:smallCaps w:val="0"/>
          <w:strike w:val="0"/>
          <w:sz w:val="20"/>
          <w:u w:val="none"/>
        </w:rPr>
        <w:t>Just the Facts is a feature that highlights issues and trends in the Judiciary based on data collected by the Judiciary Data and Analysis Office (JDAO) of the Administrative Office of the U.S. Courts</w:t>
      </w:r>
      <w:r>
        <w:rPr>
          <w:b w:val="0"/>
          <w:i w:val="0"/>
          <w:smallCaps w:val="0"/>
          <w:strike w:val="0"/>
          <w:sz w:val="20"/>
          <w:u w:val="none"/>
        </w:rPr>
        <w:t xml:space="preserve">; Just the Facts, “Just the Facts: Intellectual Property Cases—Patent, Copyright, and Trademark,” </w:t>
      </w:r>
      <w:r>
        <w:rPr>
          <w:b w:val="0"/>
          <w:i w:val="0"/>
          <w:smallCaps w:val="0"/>
          <w:strike w:val="0"/>
          <w:sz w:val="20"/>
          <w:u w:val="none"/>
        </w:rPr>
        <w:t>https://www.uscourts.gov/news/2020/02/13/just-facts-intellectual-property-cases-patent-copyright-and-trademark</w:t>
      </w:r>
      <w:r>
        <w:rPr>
          <w:b w:val="0"/>
          <w:i w:val="0"/>
          <w:smallCaps w:val="0"/>
          <w:strike w:val="0"/>
          <w:sz w:val="20"/>
          <w:u w:val="none"/>
        </w:rPr>
        <w:t>]</w:t>
      </w:r>
    </w:p>
    <w:p>
      <w:pPr>
        <w:spacing w:after="60"/>
      </w:pPr>
      <w:r>
        <w:rPr>
          <w:b w:val="0"/>
          <w:i w:val="0"/>
          <w:smallCaps w:val="0"/>
          <w:strike w:val="0"/>
          <w:sz w:val="16"/>
          <w:u w:val="none"/>
        </w:rPr>
        <w:t xml:space="preserve">Over the past 20 years, </w:t>
      </w:r>
      <w:r>
        <w:rPr>
          <w:b/>
          <w:i w:val="0"/>
          <w:smallCaps w:val="0"/>
          <w:strike w:val="0"/>
          <w:sz w:val="24"/>
          <w:u w:val="single"/>
        </w:rPr>
        <w:t>the overall number of intellectual property cases filed in the U.S. courts has increased dramatically</w:t>
      </w:r>
      <w:r>
        <w:rPr>
          <w:b w:val="0"/>
          <w:i w:val="0"/>
          <w:smallCaps w:val="0"/>
          <w:strike w:val="0"/>
          <w:sz w:val="16"/>
          <w:u w:val="none"/>
        </w:rPr>
        <w:t xml:space="preserve">. However, after sharp increases in the early 2010s, patent infringement case filings now have started to fall, copyright case filings have fluctuated, and trademark case filings have held steady. </w:t>
      </w:r>
      <w:r>
        <w:rPr>
          <w:b/>
          <w:i w:val="0"/>
          <w:smallCaps w:val="0"/>
          <w:strike w:val="0"/>
          <w:sz w:val="24"/>
          <w:u w:val="single"/>
        </w:rPr>
        <w:t>Most intellectual property cases are concentrated in a handful of states</w:t>
      </w:r>
      <w:r>
        <w:rPr>
          <w:b w:val="0"/>
          <w:i w:val="0"/>
          <w:smallCaps w:val="0"/>
          <w:strike w:val="0"/>
          <w:sz w:val="16"/>
          <w:u w:val="none"/>
        </w:rPr>
        <w:t>.</w:t>
      </w:r>
    </w:p>
    <w:p>
      <w:pPr>
        <w:spacing w:after="60"/>
      </w:pPr>
      <w:r>
        <w:rPr>
          <w:b w:val="0"/>
          <w:i w:val="0"/>
          <w:smallCaps w:val="0"/>
          <w:strike w:val="0"/>
          <w:sz w:val="16"/>
          <w:u w:val="none"/>
        </w:rPr>
        <w:t xml:space="preserve">The framers of the U.S. Constitution believed that </w:t>
      </w:r>
      <w:r>
        <w:rPr>
          <w:b/>
          <w:i w:val="0"/>
          <w:smallCaps w:val="0"/>
          <w:strike w:val="0"/>
          <w:sz w:val="24"/>
          <w:u w:val="single"/>
        </w:rPr>
        <w:t>codifying intellectual property</w:t>
      </w:r>
      <w:r>
        <w:rPr>
          <w:b w:val="0"/>
          <w:i w:val="0"/>
          <w:smallCaps w:val="0"/>
          <w:strike w:val="0"/>
          <w:sz w:val="16"/>
          <w:u w:val="none"/>
        </w:rPr>
        <w:t xml:space="preserve"> (IP) </w:t>
      </w:r>
      <w:r>
        <w:rPr>
          <w:b/>
          <w:i w:val="0"/>
          <w:smallCaps w:val="0"/>
          <w:strike w:val="0"/>
          <w:sz w:val="24"/>
          <w:u w:val="single"/>
        </w:rPr>
        <w:t>rights at the federal level</w:t>
      </w:r>
      <w:r>
        <w:rPr>
          <w:b w:val="0"/>
          <w:i w:val="0"/>
          <w:smallCaps w:val="0"/>
          <w:strike w:val="0"/>
          <w:sz w:val="16"/>
          <w:u w:val="none"/>
        </w:rPr>
        <w:t xml:space="preserve"> was important to economic independence, innovation, and domestic growth. IP rights were established in the U.S. Constitution in Article I, Section 8, which declares that Congress has the power “to promote the progress of science and useful arts, by securing for limited times to authors and inventors the exclusive right to their respective writings and discoveries.” </w:t>
      </w:r>
      <w:r>
        <w:rPr>
          <w:b w:val="0"/>
          <w:i w:val="0"/>
          <w:smallCaps w:val="0"/>
          <w:strike w:val="0"/>
          <w:sz w:val="16"/>
          <w:u w:val="none"/>
        </w:rPr>
        <w:t>This ”IP</w:t>
      </w:r>
      <w:r>
        <w:rPr>
          <w:b w:val="0"/>
          <w:i w:val="0"/>
          <w:smallCaps w:val="0"/>
          <w:strike w:val="0"/>
          <w:sz w:val="16"/>
          <w:u w:val="none"/>
        </w:rPr>
        <w:t xml:space="preserve"> Clause”1 text has been attributed to James Madison and James Pinckney, who both submitted proposals related to IP rights at the Constitutional Convention of 1787 in Philadelphia. The IP Clause was approved unanimously by the delegates without debate.2 George Washington also was a proponent of establishing IP rights at the federal level, which he considered necessary for the country to achieve economic independence.3</w:t>
      </w:r>
    </w:p>
    <w:p>
      <w:pPr>
        <w:spacing w:after="60"/>
      </w:pPr>
      <w:r>
        <w:rPr>
          <w:b w:val="0"/>
          <w:i w:val="0"/>
          <w:smallCaps w:val="0"/>
          <w:strike w:val="0"/>
          <w:sz w:val="16"/>
          <w:u w:val="none"/>
        </w:rPr>
        <w:t xml:space="preserve">Others disagreed, warning that excessive legal protections could result in a monopoly of ideas that </w:t>
      </w:r>
      <w:r>
        <w:rPr>
          <w:b w:val="0"/>
          <w:i w:val="0"/>
          <w:smallCaps w:val="0"/>
          <w:strike w:val="0"/>
          <w:sz w:val="16"/>
          <w:u w:val="none"/>
        </w:rPr>
        <w:t>hindered</w:t>
      </w:r>
      <w:r>
        <w:rPr>
          <w:b w:val="0"/>
          <w:i w:val="0"/>
          <w:smallCaps w:val="0"/>
          <w:strike w:val="0"/>
          <w:sz w:val="16"/>
          <w:u w:val="none"/>
        </w:rPr>
        <w:t xml:space="preserve"> innovation in the public sphere. Thomas Jefferson and Ben Franklin never sought patents for their inventions and saw their creations as gifts to the public. Madison, however, pushed for stronger protections for the inventor. The Patent Act of 1790, the first intellectual property statute passed by the federal government, was a compromise between the two positions.4 Although Jefferson warned against excessive IP rights, as secretary of state he headed a Patent Commission review board and personally tested patent submissions.5 6 Later, the patent examination system was replaced by a registration system that reduced the waiting times for processing applications and left questions of patent validity and enforcement to the courts.7</w:t>
      </w:r>
    </w:p>
    <w:p>
      <w:pPr>
        <w:spacing w:after="60"/>
      </w:pPr>
      <w:r>
        <w:rPr>
          <w:b w:val="0"/>
          <w:i w:val="0"/>
          <w:smallCaps w:val="0"/>
          <w:strike w:val="0"/>
          <w:sz w:val="16"/>
          <w:u w:val="none"/>
        </w:rPr>
        <w:t>Background</w:t>
      </w:r>
      <w:r>
        <w:rPr>
          <w:b w:val="0"/>
          <w:i w:val="0"/>
          <w:smallCaps w:val="0"/>
          <w:strike w:val="0"/>
          <w:sz w:val="16"/>
          <w:u w:val="none"/>
        </w:rPr>
        <w:tab/>
      </w:r>
    </w:p>
    <w:p>
      <w:pPr>
        <w:spacing w:after="60"/>
      </w:pPr>
      <w:r>
        <w:rPr>
          <w:b/>
          <w:i w:val="0"/>
          <w:smallCaps w:val="0"/>
          <w:strike w:val="0"/>
          <w:sz w:val="24"/>
          <w:highlight w:val="cyan"/>
          <w:u w:val="single"/>
        </w:rPr>
        <w:t>Adjudication of IP law</w:t>
      </w:r>
      <w:r>
        <w:rPr>
          <w:b/>
          <w:i w:val="0"/>
          <w:smallCaps w:val="0"/>
          <w:strike w:val="0"/>
          <w:sz w:val="24"/>
          <w:u w:val="single"/>
        </w:rPr>
        <w:t xml:space="preserve"> at the federal level was intended to promote innovation and ensure consistency across states</w:t>
      </w:r>
      <w:r>
        <w:rPr>
          <w:b w:val="0"/>
          <w:i w:val="0"/>
          <w:smallCaps w:val="0"/>
          <w:strike w:val="0"/>
          <w:sz w:val="16"/>
          <w:u w:val="none"/>
        </w:rPr>
        <w:t xml:space="preserve">.8 IP cases </w:t>
      </w:r>
      <w:r>
        <w:rPr>
          <w:b/>
          <w:i w:val="0"/>
          <w:smallCaps w:val="0"/>
          <w:strike w:val="0"/>
          <w:sz w:val="24"/>
          <w:highlight w:val="cyan"/>
          <w:u w:val="single"/>
        </w:rPr>
        <w:t>include</w:t>
      </w:r>
      <w:r>
        <w:rPr>
          <w:b w:val="0"/>
          <w:i w:val="0"/>
          <w:smallCaps w:val="0"/>
          <w:strike w:val="0"/>
          <w:sz w:val="16"/>
          <w:u w:val="none"/>
        </w:rPr>
        <w:t xml:space="preserve"> three types of civil cases: </w:t>
      </w:r>
      <w:r>
        <w:rPr>
          <w:b/>
          <w:i w:val="0"/>
          <w:smallCaps w:val="0"/>
          <w:strike w:val="0"/>
          <w:sz w:val="24"/>
          <w:highlight w:val="cyan"/>
          <w:u w:val="single"/>
        </w:rPr>
        <w:t>patent</w:t>
      </w:r>
      <w:r>
        <w:rPr>
          <w:b w:val="0"/>
          <w:i w:val="0"/>
          <w:smallCaps w:val="0"/>
          <w:strike w:val="0"/>
          <w:sz w:val="16"/>
          <w:u w:val="none"/>
        </w:rPr>
        <w:t xml:space="preserve">, </w:t>
      </w:r>
      <w:r>
        <w:rPr>
          <w:b/>
          <w:i w:val="0"/>
          <w:smallCaps w:val="0"/>
          <w:strike w:val="0"/>
          <w:sz w:val="24"/>
          <w:highlight w:val="cyan"/>
          <w:u w:val="single"/>
        </w:rPr>
        <w:t>copyright</w:t>
      </w:r>
      <w:r>
        <w:rPr>
          <w:b w:val="0"/>
          <w:i w:val="0"/>
          <w:smallCaps w:val="0"/>
          <w:strike w:val="0"/>
          <w:sz w:val="16"/>
          <w:u w:val="none"/>
        </w:rPr>
        <w:t xml:space="preserve">, </w:t>
      </w:r>
      <w:r>
        <w:rPr>
          <w:b/>
          <w:i w:val="0"/>
          <w:smallCaps w:val="0"/>
          <w:strike w:val="0"/>
          <w:sz w:val="24"/>
          <w:highlight w:val="cyan"/>
          <w:u w:val="single"/>
        </w:rPr>
        <w:t>and trademark</w:t>
      </w:r>
      <w:r>
        <w:rPr>
          <w:b w:val="0"/>
          <w:i w:val="0"/>
          <w:smallCaps w:val="0"/>
          <w:strike w:val="0"/>
          <w:sz w:val="16"/>
          <w:u w:val="none"/>
        </w:rPr>
        <w:t>.</w:t>
      </w:r>
    </w:p>
    <w:p>
      <w:pPr>
        <w:spacing w:after="60"/>
      </w:pPr>
      <w:r>
        <w:rPr>
          <w:b/>
          <w:i w:val="0"/>
          <w:smallCaps w:val="0"/>
          <w:strike w:val="0"/>
          <w:sz w:val="24"/>
          <w:u w:val="single"/>
        </w:rPr>
        <w:t>Patents are rights granted to the inventors of</w:t>
      </w:r>
      <w:r>
        <w:rPr>
          <w:b/>
          <w:i w:val="0"/>
          <w:smallCaps w:val="0"/>
          <w:strike w:val="0"/>
          <w:sz w:val="24"/>
          <w:u w:val="single"/>
        </w:rPr>
        <w:t xml:space="preserve"> new processes, machines, and/or products as codified in the 1952 Patent Act</w:t>
      </w:r>
      <w:r>
        <w:rPr>
          <w:b w:val="0"/>
          <w:i w:val="0"/>
          <w:smallCaps w:val="0"/>
          <w:strike w:val="0"/>
          <w:sz w:val="16"/>
          <w:u w:val="none"/>
        </w:rPr>
        <w:t xml:space="preserve"> (Title 35 §§ 1-390). The numbers of </w:t>
      </w:r>
      <w:r>
        <w:rPr>
          <w:b/>
          <w:i w:val="0"/>
          <w:smallCaps w:val="0"/>
          <w:strike w:val="0"/>
          <w:sz w:val="24"/>
          <w:u w:val="single"/>
        </w:rPr>
        <w:t>patent applications and awards have risen greatly over the nation’s history</w:t>
      </w:r>
      <w:r>
        <w:rPr>
          <w:b w:val="0"/>
          <w:i w:val="0"/>
          <w:smallCaps w:val="0"/>
          <w:strike w:val="0"/>
          <w:sz w:val="16"/>
          <w:u w:val="none"/>
        </w:rPr>
        <w:t xml:space="preserve">. </w:t>
      </w:r>
      <w:r>
        <w:rPr>
          <w:b/>
          <w:i w:val="0"/>
          <w:smallCaps w:val="0"/>
          <w:strike w:val="0"/>
          <w:sz w:val="24"/>
          <w:u w:val="single"/>
        </w:rPr>
        <w:t>In 1791, a total of 33 utility patents9 were awarded</w:t>
      </w:r>
      <w:r>
        <w:rPr>
          <w:b w:val="0"/>
          <w:i w:val="0"/>
          <w:smallCaps w:val="0"/>
          <w:strike w:val="0"/>
          <w:sz w:val="16"/>
          <w:u w:val="none"/>
        </w:rPr>
        <w:t xml:space="preserve">; </w:t>
      </w:r>
      <w:r>
        <w:rPr>
          <w:b/>
          <w:i w:val="0"/>
          <w:smallCaps w:val="0"/>
          <w:strike w:val="0"/>
          <w:sz w:val="24"/>
          <w:u w:val="single"/>
        </w:rPr>
        <w:t xml:space="preserve">in 2015, a total of </w:t>
      </w:r>
      <w:r>
        <w:rPr>
          <w:b/>
          <w:i w:val="0"/>
          <w:smallCaps w:val="0"/>
          <w:strike w:val="0"/>
          <w:sz w:val="24"/>
          <w:highlight w:val="cyan"/>
          <w:u w:val="single"/>
        </w:rPr>
        <w:t>298,407 utility patents were awarded</w:t>
      </w:r>
      <w:r>
        <w:rPr>
          <w:b w:val="0"/>
          <w:i w:val="0"/>
          <w:smallCaps w:val="0"/>
          <w:strike w:val="0"/>
          <w:sz w:val="16"/>
          <w:u w:val="none"/>
        </w:rPr>
        <w:t>.10</w:t>
      </w:r>
    </w:p>
    <w:p>
      <w:pPr>
        <w:spacing w:after="60"/>
      </w:pPr>
      <w:r>
        <w:rPr>
          <w:b/>
          <w:i w:val="0"/>
          <w:smallCaps w:val="0"/>
          <w:strike w:val="0"/>
          <w:sz w:val="24"/>
          <w:u w:val="single"/>
        </w:rPr>
        <w:t>Copyright laws allow artists and authors to have exclusive rights to the work they have made</w:t>
      </w:r>
      <w:r>
        <w:rPr>
          <w:b w:val="0"/>
          <w:i w:val="0"/>
          <w:smallCaps w:val="0"/>
          <w:strike w:val="0"/>
          <w:sz w:val="16"/>
          <w:u w:val="none"/>
        </w:rPr>
        <w:t xml:space="preserve">, to create and sell copies of their work, and to perform or display or display their work publicly. </w:t>
      </w:r>
      <w:r>
        <w:rPr>
          <w:b/>
          <w:i w:val="0"/>
          <w:smallCaps w:val="0"/>
          <w:strike w:val="0"/>
          <w:sz w:val="24"/>
          <w:u w:val="single"/>
        </w:rPr>
        <w:t>The statutory basis of copyright laws is codified in the 1976 Copyright Act</w:t>
      </w:r>
      <w:r>
        <w:rPr>
          <w:b w:val="0"/>
          <w:i w:val="0"/>
          <w:smallCaps w:val="0"/>
          <w:strike w:val="0"/>
          <w:sz w:val="16"/>
          <w:u w:val="none"/>
        </w:rPr>
        <w:t xml:space="preserve"> (Title 17 §§ 101 – 1332).11</w:t>
      </w:r>
    </w:p>
    <w:p>
      <w:pPr>
        <w:spacing w:after="60"/>
      </w:pPr>
      <w:r>
        <w:rPr>
          <w:b/>
          <w:i w:val="0"/>
          <w:smallCaps w:val="0"/>
          <w:strike w:val="0"/>
          <w:sz w:val="24"/>
          <w:u w:val="single"/>
        </w:rPr>
        <w:t>Trademark laws are intended to protect any name, logo, or phrase used in commerce to distinguish one manufacturer</w:t>
      </w:r>
      <w:r>
        <w:rPr>
          <w:b w:val="0"/>
          <w:i w:val="0"/>
          <w:smallCaps w:val="0"/>
          <w:strike w:val="0"/>
          <w:sz w:val="16"/>
          <w:u w:val="none"/>
        </w:rPr>
        <w:t xml:space="preserve"> from another. Unlike patent laws and copyright </w:t>
      </w:r>
      <w:r>
        <w:rPr>
          <w:b w:val="0"/>
          <w:i w:val="0"/>
          <w:smallCaps w:val="0"/>
          <w:strike w:val="0"/>
          <w:sz w:val="16"/>
          <w:u w:val="none"/>
        </w:rPr>
        <w:t>law</w:t>
      </w:r>
      <w:r>
        <w:rPr>
          <w:b w:val="0"/>
          <w:i w:val="0"/>
          <w:smallCaps w:val="0"/>
          <w:strike w:val="0"/>
          <w:sz w:val="16"/>
          <w:u w:val="none"/>
        </w:rPr>
        <w:t xml:space="preserve">, </w:t>
      </w:r>
      <w:r>
        <w:rPr>
          <w:b/>
          <w:i w:val="0"/>
          <w:smallCaps w:val="0"/>
          <w:strike w:val="0"/>
          <w:sz w:val="24"/>
          <w:u w:val="single"/>
        </w:rPr>
        <w:t>trademark laws are not authorized by the IP Clause</w:t>
      </w:r>
      <w:r>
        <w:rPr>
          <w:b w:val="0"/>
          <w:i w:val="0"/>
          <w:smallCaps w:val="0"/>
          <w:strike w:val="0"/>
          <w:sz w:val="16"/>
          <w:u w:val="none"/>
        </w:rPr>
        <w:t>. In 1879, the U.S. Supreme Court ruled in the United States v. Steffens, 100 U.S. 82 (1879) (Trade-Mark cases)12 that the Constitution’s IP Clause did not authorize Congress to regulate trademarks. In response to this ruling, in 1881 Congress passed the Trademark Act, which is based on the Constitution’s Commerce Clause (Article I, Section 8, Clause 3). This legislation gave Congress the authority to protect and regulate trademarks. The statutory basis for current trademark law is codified in the 1946 Lanham Act (15 U.S.C. §§ 1051 – 1141n).13</w:t>
      </w:r>
    </w:p>
    <w:p>
      <w:pPr>
        <w:spacing w:after="60"/>
      </w:pPr>
      <w:r>
        <w:rPr>
          <w:b/>
          <w:i w:val="0"/>
          <w:smallCaps w:val="0"/>
          <w:strike w:val="0"/>
          <w:sz w:val="24"/>
          <w:u w:val="single"/>
        </w:rPr>
        <w:t>In patent cases, the decision of any U.S. district court can be appealed to the U.S. Court of Appeals for the Federal C</w:t>
      </w:r>
      <w:r>
        <w:rPr>
          <w:b w:val="0"/>
          <w:i w:val="0"/>
          <w:smallCaps w:val="0"/>
          <w:strike w:val="0"/>
          <w:sz w:val="16"/>
          <w:u w:val="none"/>
        </w:rPr>
        <w:t xml:space="preserve">ircuit (CAFC). In trademark cases and copyright cases, the decision of any district court can be appealed either to a regional circuit court of appeals or to the CAFC.14 </w:t>
      </w:r>
    </w:p>
    <w:p>
      <w:pPr>
        <w:spacing w:after="60"/>
      </w:pPr>
      <w:r>
        <w:rPr>
          <w:b w:val="0"/>
          <w:i w:val="0"/>
          <w:smallCaps w:val="0"/>
          <w:strike w:val="0"/>
          <w:sz w:val="16"/>
          <w:u w:val="none"/>
        </w:rPr>
        <w:t xml:space="preserve">[Footnote 14]14 Patent appeals that originate in the U.S. district courts, including counterclaims, are exclusively the jurisdiction of the United States Court of Appeals for the Federal Circuit (CAFC). All district court decisions involving patent laws are subject to review by the CAFC. However, “permissive counterclaims” in which the counterclaims are related to separate allegations other than the plaintiffs’ claims are subject to review by the regional circuit court of appeals. Claims involving questions that overlap both patent law and copyright or trademark law are reviewed by the CAFC, whereas copyright and trademark cases that originated in the district courts and do not involve any patent questions are reviewed by regional circuit courts of appeals. Source: Peter Marksteiner, Circuit Executive and Clerk of Court for the U.S. Court of Appeals for the Federal </w:t>
      </w:r>
      <w:r>
        <w:rPr>
          <w:b w:val="0"/>
          <w:i w:val="0"/>
          <w:smallCaps w:val="0"/>
          <w:strike w:val="0"/>
          <w:sz w:val="16"/>
          <w:u w:val="none"/>
        </w:rPr>
        <w:t>Circuit.[</w:t>
      </w:r>
      <w:r>
        <w:rPr>
          <w:b w:val="0"/>
          <w:i w:val="0"/>
          <w:smallCaps w:val="0"/>
          <w:strike w:val="0"/>
          <w:sz w:val="16"/>
          <w:u w:val="none"/>
        </w:rPr>
        <w:t xml:space="preserve">/End Footnote 14] </w:t>
      </w:r>
    </w:p>
    <w:p>
      <w:pPr>
        <w:spacing w:after="60"/>
      </w:pPr>
      <w:r>
        <w:rPr>
          <w:b w:val="0"/>
          <w:i w:val="0"/>
          <w:smallCaps w:val="0"/>
          <w:strike w:val="0"/>
          <w:sz w:val="16"/>
          <w:u w:val="none"/>
        </w:rPr>
        <w:t>Decisions of the regional appeals courts or the CAFC can be appealed to the Supreme Court.</w:t>
      </w:r>
    </w:p>
    <w:p>
      <w:pPr>
        <w:spacing w:after="60"/>
      </w:pPr>
      <w:r>
        <w:rPr>
          <w:b w:val="0"/>
          <w:i w:val="0"/>
          <w:smallCaps w:val="0"/>
          <w:strike w:val="0"/>
          <w:sz w:val="16"/>
          <w:u w:val="none"/>
        </w:rPr>
        <w:t>Facts and Figures</w:t>
      </w:r>
    </w:p>
    <w:p>
      <w:pPr>
        <w:spacing w:after="60"/>
      </w:pPr>
      <w:r>
        <w:rPr>
          <w:b w:val="0"/>
          <w:i w:val="0"/>
          <w:smallCaps w:val="0"/>
          <w:strike w:val="0"/>
          <w:sz w:val="16"/>
          <w:u w:val="none"/>
        </w:rPr>
        <w:t>Intellectual Property Filings Over Time</w:t>
      </w:r>
    </w:p>
    <w:p>
      <w:pPr>
        <w:spacing w:after="60"/>
      </w:pPr>
      <w:r>
        <w:rPr>
          <w:b w:val="0"/>
          <w:i w:val="0"/>
          <w:smallCaps w:val="0"/>
          <w:strike w:val="0"/>
          <w:sz w:val="16"/>
          <w:u w:val="none"/>
        </w:rPr>
        <w:t xml:space="preserve">Figure 1 displays data on </w:t>
      </w:r>
      <w:r>
        <w:rPr>
          <w:b/>
          <w:i w:val="0"/>
          <w:smallCaps w:val="0"/>
          <w:strike w:val="0"/>
          <w:sz w:val="24"/>
          <w:u w:val="single"/>
        </w:rPr>
        <w:t>filings of intellectual property cases by type from 1996 to 2018. Trademark</w:t>
      </w:r>
      <w:r>
        <w:rPr>
          <w:b w:val="0"/>
          <w:i w:val="0"/>
          <w:smallCaps w:val="0"/>
          <w:strike w:val="0"/>
          <w:sz w:val="16"/>
          <w:u w:val="none"/>
        </w:rPr>
        <w:t xml:space="preserve"> case filings have remained relatively stable during this period. Patent case filings started rising dramatically in 2009, then began decreasing in 2016. Copyright filings increased from 2002 to 2005, from 2011 to 2015, then decreased for two consecutive years before spiking to their highest number in 2018. </w:t>
      </w:r>
      <w:r>
        <w:rPr>
          <w:b/>
          <w:i w:val="0"/>
          <w:smallCaps w:val="0"/>
          <w:strike w:val="0"/>
          <w:sz w:val="24"/>
          <w:u w:val="single"/>
        </w:rPr>
        <w:t xml:space="preserve">Some of the </w:t>
      </w:r>
      <w:r>
        <w:rPr>
          <w:b/>
          <w:i w:val="0"/>
          <w:smallCaps w:val="0"/>
          <w:strike w:val="0"/>
          <w:sz w:val="24"/>
          <w:highlight w:val="cyan"/>
          <w:u w:val="single"/>
        </w:rPr>
        <w:t>fluctuations</w:t>
      </w:r>
      <w:r>
        <w:rPr>
          <w:b/>
          <w:i w:val="0"/>
          <w:smallCaps w:val="0"/>
          <w:strike w:val="0"/>
          <w:sz w:val="24"/>
          <w:highlight w:val="cyan"/>
          <w:u w:val="single"/>
        </w:rPr>
        <w:t xml:space="preserve"> in </w:t>
      </w:r>
      <w:r>
        <w:rPr>
          <w:b/>
          <w:i w:val="0"/>
          <w:smallCaps w:val="0"/>
          <w:strike w:val="0"/>
          <w:sz w:val="24"/>
          <w:highlight w:val="cyan"/>
          <w:u w:val="single"/>
        </w:rPr>
        <w:t>i</w:t>
      </w:r>
      <w:r>
        <w:rPr>
          <w:b/>
          <w:i w:val="0"/>
          <w:smallCaps w:val="0"/>
          <w:strike w:val="0"/>
          <w:sz w:val="24"/>
          <w:u w:val="single"/>
        </w:rPr>
        <w:t xml:space="preserve">ntellectual </w:t>
      </w:r>
      <w:r>
        <w:rPr>
          <w:b/>
          <w:i w:val="0"/>
          <w:smallCaps w:val="0"/>
          <w:strike w:val="0"/>
          <w:sz w:val="24"/>
          <w:highlight w:val="cyan"/>
          <w:u w:val="single"/>
        </w:rPr>
        <w:t>p</w:t>
      </w:r>
      <w:r>
        <w:rPr>
          <w:b/>
          <w:i w:val="0"/>
          <w:smallCaps w:val="0"/>
          <w:strike w:val="0"/>
          <w:sz w:val="24"/>
          <w:u w:val="single"/>
        </w:rPr>
        <w:t>roperty</w:t>
      </w:r>
      <w:r>
        <w:rPr>
          <w:b/>
          <w:i w:val="0"/>
          <w:smallCaps w:val="0"/>
          <w:strike w:val="0"/>
          <w:sz w:val="24"/>
          <w:u w:val="single"/>
        </w:rPr>
        <w:t xml:space="preserve"> </w:t>
      </w:r>
      <w:r>
        <w:rPr>
          <w:b/>
          <w:i w:val="0"/>
          <w:smallCaps w:val="0"/>
          <w:strike w:val="0"/>
          <w:sz w:val="24"/>
          <w:highlight w:val="cyan"/>
          <w:u w:val="single"/>
        </w:rPr>
        <w:t>filings</w:t>
      </w:r>
      <w:r>
        <w:rPr>
          <w:b/>
          <w:i w:val="0"/>
          <w:smallCaps w:val="0"/>
          <w:strike w:val="0"/>
          <w:sz w:val="24"/>
          <w:u w:val="single"/>
        </w:rPr>
        <w:t xml:space="preserve"> </w:t>
      </w:r>
      <w:r>
        <w:rPr>
          <w:b/>
          <w:i w:val="0"/>
          <w:smallCaps w:val="0"/>
          <w:strike w:val="0"/>
          <w:sz w:val="24"/>
          <w:highlight w:val="cyan"/>
          <w:u w:val="single"/>
        </w:rPr>
        <w:t xml:space="preserve">are related to </w:t>
      </w:r>
      <w:r>
        <w:rPr>
          <w:b/>
          <w:i w:val="0"/>
          <w:smallCaps w:val="0"/>
          <w:strike w:val="0"/>
          <w:sz w:val="24"/>
          <w:highlight w:val="cyan"/>
          <w:u w:val="single"/>
        </w:rPr>
        <w:t>legislative actions</w:t>
      </w:r>
      <w:r>
        <w:rPr>
          <w:b/>
          <w:i w:val="0"/>
          <w:smallCaps w:val="0"/>
          <w:strike w:val="0"/>
          <w:sz w:val="24"/>
          <w:highlight w:val="cyan"/>
          <w:u w:val="single"/>
        </w:rPr>
        <w:t xml:space="preserve"> and </w:t>
      </w:r>
      <w:r>
        <w:rPr>
          <w:b/>
          <w:i w:val="0"/>
          <w:smallCaps w:val="0"/>
          <w:strike w:val="0"/>
          <w:sz w:val="24"/>
          <w:highlight w:val="cyan"/>
          <w:u w:val="single"/>
        </w:rPr>
        <w:t>judicial decisions</w:t>
      </w:r>
      <w:r>
        <w:rPr>
          <w:b/>
          <w:i w:val="0"/>
          <w:smallCaps w:val="0"/>
          <w:strike w:val="0"/>
          <w:sz w:val="24"/>
          <w:u w:val="single"/>
        </w:rPr>
        <w:t xml:space="preserve"> that have </w:t>
      </w:r>
      <w:r>
        <w:rPr>
          <w:b/>
          <w:i w:val="0"/>
          <w:smallCaps w:val="0"/>
          <w:strike w:val="0"/>
          <w:sz w:val="24"/>
          <w:u w:val="single"/>
        </w:rPr>
        <w:t>occurred</w:t>
      </w:r>
      <w:r>
        <w:rPr>
          <w:b/>
          <w:i w:val="0"/>
          <w:smallCaps w:val="0"/>
          <w:strike w:val="0"/>
          <w:sz w:val="24"/>
          <w:u w:val="single"/>
        </w:rPr>
        <w:t xml:space="preserve"> within the </w:t>
      </w:r>
      <w:r>
        <w:rPr>
          <w:b/>
          <w:i w:val="0"/>
          <w:smallCaps w:val="0"/>
          <w:strike w:val="0"/>
          <w:sz w:val="24"/>
          <w:u w:val="single"/>
        </w:rPr>
        <w:t>past decade</w:t>
      </w:r>
      <w:r>
        <w:rPr>
          <w:b w:val="0"/>
          <w:i w:val="0"/>
          <w:smallCaps w:val="0"/>
          <w:strike w:val="0"/>
          <w:sz w:val="16"/>
          <w:u w:val="none"/>
        </w:rPr>
        <w:t>.15</w:t>
      </w:r>
    </w:p>
    <w:p>
      <w:pPr>
        <w:spacing w:after="60"/>
      </w:pPr>
      <w:r>
        <w:rPr>
          <w:b w:val="0"/>
          <w:i w:val="0"/>
          <w:smallCaps w:val="0"/>
          <w:strike w:val="0"/>
          <w:sz w:val="16"/>
          <w:u w:val="none"/>
        </w:rPr>
        <w:t xml:space="preserve">[Footnote 15]15 </w:t>
      </w:r>
      <w:r>
        <w:rPr>
          <w:b/>
          <w:i w:val="0"/>
          <w:smallCaps w:val="0"/>
          <w:strike w:val="0"/>
          <w:sz w:val="24"/>
          <w:highlight w:val="cyan"/>
          <w:u w:val="single"/>
        </w:rPr>
        <w:t>Many factors</w:t>
      </w:r>
      <w:r>
        <w:rPr>
          <w:b/>
          <w:i w:val="0"/>
          <w:smallCaps w:val="0"/>
          <w:strike w:val="0"/>
          <w:sz w:val="24"/>
          <w:highlight w:val="cyan"/>
          <w:u w:val="single"/>
        </w:rPr>
        <w:t xml:space="preserve"> can influence the </w:t>
      </w:r>
      <w:r>
        <w:rPr>
          <w:b/>
          <w:i w:val="0"/>
          <w:smallCaps w:val="0"/>
          <w:strike w:val="0"/>
          <w:sz w:val="24"/>
          <w:highlight w:val="cyan"/>
          <w:u w:val="single"/>
        </w:rPr>
        <w:t>volume</w:t>
      </w:r>
      <w:r>
        <w:rPr>
          <w:b/>
          <w:i w:val="0"/>
          <w:smallCaps w:val="0"/>
          <w:strike w:val="0"/>
          <w:sz w:val="24"/>
          <w:u w:val="single"/>
        </w:rPr>
        <w:t xml:space="preserve"> and </w:t>
      </w:r>
      <w:r>
        <w:rPr>
          <w:b/>
          <w:i w:val="0"/>
          <w:smallCaps w:val="0"/>
          <w:strike w:val="0"/>
          <w:sz w:val="24"/>
          <w:u w:val="single"/>
        </w:rPr>
        <w:t>geographic distribution</w:t>
      </w:r>
      <w:r>
        <w:rPr>
          <w:b/>
          <w:i w:val="0"/>
          <w:smallCaps w:val="0"/>
          <w:strike w:val="0"/>
          <w:sz w:val="24"/>
          <w:u w:val="single"/>
        </w:rPr>
        <w:t xml:space="preserve"> </w:t>
      </w:r>
      <w:r>
        <w:rPr>
          <w:b/>
          <w:i w:val="0"/>
          <w:smallCaps w:val="0"/>
          <w:strike w:val="0"/>
          <w:sz w:val="24"/>
          <w:highlight w:val="cyan"/>
          <w:u w:val="single"/>
        </w:rPr>
        <w:t>of i</w:t>
      </w:r>
      <w:r>
        <w:rPr>
          <w:b/>
          <w:i w:val="0"/>
          <w:smallCaps w:val="0"/>
          <w:strike w:val="0"/>
          <w:sz w:val="24"/>
          <w:u w:val="single"/>
        </w:rPr>
        <w:t xml:space="preserve">ntellectual </w:t>
      </w:r>
      <w:r>
        <w:rPr>
          <w:b/>
          <w:i w:val="0"/>
          <w:smallCaps w:val="0"/>
          <w:strike w:val="0"/>
          <w:sz w:val="24"/>
          <w:highlight w:val="cyan"/>
          <w:u w:val="single"/>
        </w:rPr>
        <w:t>p</w:t>
      </w:r>
      <w:r>
        <w:rPr>
          <w:b/>
          <w:i w:val="0"/>
          <w:smallCaps w:val="0"/>
          <w:strike w:val="0"/>
          <w:sz w:val="24"/>
          <w:u w:val="single"/>
        </w:rPr>
        <w:t xml:space="preserve">roperty </w:t>
      </w:r>
      <w:r>
        <w:rPr>
          <w:b/>
          <w:i w:val="0"/>
          <w:smallCaps w:val="0"/>
          <w:strike w:val="0"/>
          <w:sz w:val="24"/>
          <w:highlight w:val="cyan"/>
          <w:u w:val="single"/>
        </w:rPr>
        <w:t>filings</w:t>
      </w:r>
      <w:r>
        <w:rPr>
          <w:b w:val="0"/>
          <w:i w:val="0"/>
          <w:smallCaps w:val="0"/>
          <w:strike w:val="0"/>
          <w:sz w:val="16"/>
          <w:u w:val="none"/>
        </w:rPr>
        <w:t xml:space="preserve">. For example, </w:t>
      </w:r>
      <w:r>
        <w:rPr>
          <w:b/>
          <w:i w:val="0"/>
          <w:smallCaps w:val="0"/>
          <w:strike w:val="0"/>
          <w:sz w:val="24"/>
          <w:u w:val="single"/>
        </w:rPr>
        <w:t xml:space="preserve">laws such as the </w:t>
      </w:r>
      <w:r>
        <w:rPr>
          <w:b/>
          <w:i w:val="0"/>
          <w:smallCaps w:val="0"/>
          <w:strike w:val="0"/>
          <w:sz w:val="24"/>
          <w:highlight w:val="cyan"/>
          <w:u w:val="single"/>
        </w:rPr>
        <w:t>Leahy–Smith</w:t>
      </w:r>
      <w:r>
        <w:rPr>
          <w:b/>
          <w:i w:val="0"/>
          <w:smallCaps w:val="0"/>
          <w:strike w:val="0"/>
          <w:sz w:val="24"/>
          <w:u w:val="single"/>
        </w:rPr>
        <w:t xml:space="preserve"> America Invents Act</w:t>
      </w:r>
      <w:r>
        <w:rPr>
          <w:b w:val="0"/>
          <w:i w:val="0"/>
          <w:smallCaps w:val="0"/>
          <w:strike w:val="0"/>
          <w:sz w:val="16"/>
          <w:u w:val="none"/>
        </w:rPr>
        <w:t xml:space="preserve">, H.R. 1249, 112th Cong. (2011), </w:t>
      </w:r>
      <w:r>
        <w:rPr>
          <w:b/>
          <w:i w:val="0"/>
          <w:smallCaps w:val="0"/>
          <w:strike w:val="0"/>
          <w:sz w:val="24"/>
          <w:u w:val="single"/>
        </w:rPr>
        <w:t xml:space="preserve">which </w:t>
      </w:r>
      <w:r>
        <w:rPr>
          <w:b/>
          <w:i w:val="0"/>
          <w:smallCaps w:val="0"/>
          <w:strike w:val="0"/>
          <w:sz w:val="24"/>
          <w:highlight w:val="cyan"/>
          <w:u w:val="single"/>
        </w:rPr>
        <w:t xml:space="preserve">limited multi-defendant patent cases, resulted in </w:t>
      </w:r>
      <w:r>
        <w:rPr>
          <w:b/>
          <w:i w:val="0"/>
          <w:smallCaps w:val="0"/>
          <w:strike w:val="0"/>
          <w:sz w:val="24"/>
          <w:highlight w:val="cyan"/>
          <w:u w:val="single"/>
        </w:rPr>
        <w:t>higher filings</w:t>
      </w:r>
      <w:r>
        <w:rPr>
          <w:b/>
          <w:i w:val="0"/>
          <w:smallCaps w:val="0"/>
          <w:strike w:val="0"/>
          <w:sz w:val="24"/>
          <w:u w:val="single"/>
        </w:rPr>
        <w:t>. In 2017, the Supreme Court’s decision</w:t>
      </w:r>
      <w:r>
        <w:rPr>
          <w:b w:val="0"/>
          <w:i w:val="0"/>
          <w:smallCaps w:val="0"/>
          <w:strike w:val="0"/>
          <w:sz w:val="16"/>
          <w:u w:val="none"/>
        </w:rPr>
        <w:t xml:space="preserve"> in TC Heartland LLC v. Kraft Foods Group Brands LLC, 137 S. Ct. 1514 (2017), and the Federal Circuit’s ruling in </w:t>
      </w:r>
      <w:r>
        <w:rPr>
          <w:b w:val="0"/>
          <w:i w:val="0"/>
          <w:smallCaps w:val="0"/>
          <w:strike w:val="0"/>
          <w:sz w:val="16"/>
          <w:u w:val="none"/>
        </w:rPr>
        <w:t>In</w:t>
      </w:r>
      <w:r>
        <w:rPr>
          <w:b w:val="0"/>
          <w:i w:val="0"/>
          <w:smallCaps w:val="0"/>
          <w:strike w:val="0"/>
          <w:sz w:val="16"/>
          <w:u w:val="none"/>
        </w:rPr>
        <w:t xml:space="preserve"> re Cray Inc., 871 F.3d 1355, 1367 (Fed. Cir. 2017), </w:t>
      </w:r>
      <w:r>
        <w:rPr>
          <w:b/>
          <w:i w:val="0"/>
          <w:smallCaps w:val="0"/>
          <w:strike w:val="0"/>
          <w:sz w:val="24"/>
          <w:u w:val="single"/>
        </w:rPr>
        <w:t xml:space="preserve">interpreted patent case venue and thereby </w:t>
      </w:r>
      <w:r>
        <w:rPr>
          <w:b/>
          <w:i w:val="0"/>
          <w:smallCaps w:val="0"/>
          <w:strike w:val="0"/>
          <w:sz w:val="24"/>
          <w:u w:val="single"/>
        </w:rPr>
        <w:t>impacted</w:t>
      </w:r>
      <w:r>
        <w:rPr>
          <w:b/>
          <w:i w:val="0"/>
          <w:smallCaps w:val="0"/>
          <w:strike w:val="0"/>
          <w:sz w:val="24"/>
          <w:u w:val="single"/>
        </w:rPr>
        <w:t xml:space="preserve"> the </w:t>
      </w:r>
      <w:r>
        <w:rPr>
          <w:b/>
          <w:i w:val="0"/>
          <w:smallCaps w:val="0"/>
          <w:strike w:val="0"/>
          <w:sz w:val="24"/>
          <w:u w:val="single"/>
        </w:rPr>
        <w:t>geographic distribution</w:t>
      </w:r>
      <w:r>
        <w:rPr>
          <w:b/>
          <w:i w:val="0"/>
          <w:smallCaps w:val="0"/>
          <w:strike w:val="0"/>
          <w:sz w:val="24"/>
          <w:u w:val="single"/>
        </w:rPr>
        <w:t xml:space="preserve"> of </w:t>
      </w:r>
      <w:r>
        <w:rPr>
          <w:b/>
          <w:i w:val="0"/>
          <w:smallCaps w:val="0"/>
          <w:strike w:val="0"/>
          <w:sz w:val="24"/>
          <w:u w:val="single"/>
        </w:rPr>
        <w:t>patent cases.</w:t>
      </w:r>
      <w:r>
        <w:rPr>
          <w:b w:val="0"/>
          <w:i w:val="0"/>
          <w:smallCaps w:val="0"/>
          <w:strike w:val="0"/>
          <w:sz w:val="16"/>
          <w:u w:val="none"/>
        </w:rPr>
        <w:t xml:space="preserve"> [/End Footnote 15]</w:t>
      </w:r>
    </w:p>
    <w:p>
      <w:pPr>
        <w:spacing w:after="60"/>
      </w:pPr>
      <w:r>
        <w:rPr>
          <w:b w:val="0"/>
          <w:i w:val="0"/>
          <w:smallCaps w:val="0"/>
          <w:strike w:val="0"/>
          <w:sz w:val="16"/>
          <w:u w:val="none"/>
        </w:rPr>
        <w:t>Copyright Filings in 1996-2018</w:t>
      </w:r>
    </w:p>
    <w:p>
      <w:pPr>
        <w:spacing w:after="60"/>
      </w:pPr>
      <w:r>
        <w:rPr>
          <w:b w:val="0"/>
          <w:i w:val="0"/>
          <w:smallCaps w:val="0"/>
          <w:strike w:val="0"/>
          <w:sz w:val="16"/>
          <w:u w:val="none"/>
        </w:rPr>
        <w:t>Copyright case filings began rising sharply in 2003 and continued to rise for the next three years.</w:t>
      </w:r>
    </w:p>
    <w:p>
      <w:pPr>
        <w:spacing w:after="60"/>
      </w:pPr>
      <w:r>
        <w:rPr>
          <w:b w:val="0"/>
          <w:i w:val="0"/>
          <w:smallCaps w:val="0"/>
          <w:strike w:val="0"/>
          <w:sz w:val="16"/>
          <w:u w:val="none"/>
        </w:rPr>
        <w:t>Copyright case filings began falling rapidly in 2006, then continued to drop for the next three years.</w:t>
      </w:r>
    </w:p>
    <w:p>
      <w:pPr>
        <w:spacing w:after="60"/>
      </w:pPr>
      <w:r>
        <w:rPr>
          <w:b w:val="0"/>
          <w:i w:val="0"/>
          <w:smallCaps w:val="0"/>
          <w:strike w:val="0"/>
          <w:sz w:val="16"/>
          <w:u w:val="none"/>
        </w:rPr>
        <w:t>In 2012, copyright case filings began to rise drastically again. Filings varied over the next several years, reaching a new high in 2018.</w:t>
      </w:r>
    </w:p>
    <w:p>
      <w:pPr>
        <w:spacing w:after="60"/>
      </w:pPr>
      <w:r>
        <w:rPr>
          <w:b w:val="0"/>
          <w:i w:val="0"/>
          <w:smallCaps w:val="0"/>
          <w:strike w:val="0"/>
          <w:sz w:val="16"/>
          <w:u w:val="none"/>
        </w:rPr>
        <w:t>Patent Filings in 1996-2018</w:t>
      </w:r>
    </w:p>
    <w:p>
      <w:pPr>
        <w:spacing w:after="60"/>
      </w:pPr>
      <w:r>
        <w:rPr>
          <w:b w:val="0"/>
          <w:i w:val="0"/>
          <w:smallCaps w:val="0"/>
          <w:strike w:val="0"/>
          <w:sz w:val="16"/>
          <w:u w:val="none"/>
        </w:rPr>
        <w:t>In 2010, patent case filings began to drastically rise. They doubled between 2009 and 2013.</w:t>
      </w:r>
    </w:p>
    <w:p>
      <w:pPr>
        <w:spacing w:after="60"/>
      </w:pPr>
      <w:r>
        <w:rPr>
          <w:b/>
          <w:i w:val="0"/>
          <w:smallCaps w:val="0"/>
          <w:strike w:val="0"/>
          <w:sz w:val="24"/>
          <w:u w:val="single"/>
        </w:rPr>
        <w:t>In 2018, patent case filings dropped for the third year in a row, falling to levels seen in 2010.</w:t>
      </w:r>
    </w:p>
    <w:p>
      <w:pPr>
        <w:spacing w:after="60"/>
      </w:pPr>
      <w:r>
        <w:rPr>
          <w:b w:val="0"/>
          <w:i w:val="0"/>
          <w:smallCaps w:val="0"/>
          <w:strike w:val="0"/>
          <w:sz w:val="16"/>
          <w:u w:val="none"/>
        </w:rPr>
        <w:t>Trademark Filings in 1996-2018</w:t>
      </w:r>
    </w:p>
    <w:p>
      <w:pPr>
        <w:spacing w:after="60"/>
      </w:pPr>
      <w:r>
        <w:rPr>
          <w:b w:val="0"/>
          <w:i w:val="0"/>
          <w:smallCaps w:val="0"/>
          <w:strike w:val="0"/>
          <w:sz w:val="16"/>
          <w:u w:val="none"/>
        </w:rPr>
        <w:t>Trademark cases were the most frequently filed type of IP case in 1996.</w:t>
      </w:r>
    </w:p>
    <w:p>
      <w:pPr>
        <w:spacing w:after="60"/>
      </w:pPr>
      <w:r>
        <w:rPr>
          <w:b w:val="0"/>
          <w:i w:val="0"/>
          <w:smallCaps w:val="0"/>
          <w:strike w:val="0"/>
          <w:sz w:val="16"/>
          <w:u w:val="none"/>
        </w:rPr>
        <w:t>Filings of trademark cases have remained relatively stable between 1996 and 2018.</w:t>
      </w:r>
    </w:p>
    <w:p>
      <w:pPr>
        <w:spacing w:after="60"/>
      </w:pPr>
      <w:r>
        <w:rPr>
          <w:b/>
          <w:i w:val="0"/>
          <w:smallCaps w:val="0"/>
          <w:strike w:val="0"/>
          <w:sz w:val="24"/>
          <w:u w:val="single"/>
        </w:rPr>
        <w:t>Trademark cases were the least frequently filed type of IP case in 2018</w:t>
      </w:r>
      <w:r>
        <w:rPr>
          <w:b w:val="0"/>
          <w:i w:val="0"/>
          <w:smallCaps w:val="0"/>
          <w:strike w:val="0"/>
          <w:sz w:val="16"/>
          <w:u w:val="none"/>
        </w:rPr>
        <w:t>.</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