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Merely using the word doesn’t make the plan ‘significant’ </w:t>
      </w:r>
    </w:p>
    <w:p>
      <w:pPr>
        <w:spacing w:after="80"/>
      </w:pPr>
      <w:r>
        <w:rPr>
          <w:b/>
          <w:i w:val="0"/>
          <w:smallCaps w:val="0"/>
          <w:strike w:val="0"/>
          <w:sz w:val="20"/>
          <w:u w:val="none"/>
        </w:rPr>
        <w:t xml:space="preserve">Mahoney </w:t>
      </w:r>
      <w:r>
        <w:rPr>
          <w:b/>
          <w:i w:val="0"/>
          <w:smallCaps w:val="0"/>
          <w:strike w:val="0"/>
          <w:sz w:val="20"/>
          <w:u w:val="none"/>
        </w:rPr>
        <w:t xml:space="preserve">’91 </w:t>
      </w:r>
      <w:r>
        <w:rPr>
          <w:b w:val="0"/>
          <w:i w:val="0"/>
          <w:smallCaps w:val="0"/>
          <w:strike w:val="0"/>
          <w:sz w:val="20"/>
          <w:u w:val="none"/>
        </w:rPr>
        <w:t xml:space="preserve">[Mahoney et al.; 1991; </w:t>
      </w:r>
      <w:r>
        <w:rPr>
          <w:b w:val="0"/>
          <w:i w:val="0"/>
          <w:smallCaps w:val="0"/>
          <w:strike w:val="0"/>
          <w:sz w:val="20"/>
          <w:u w:val="none"/>
        </w:rPr>
        <w:t>Judge for the Supreme Court of New York</w:t>
      </w:r>
      <w:r>
        <w:rPr>
          <w:b w:val="0"/>
          <w:i w:val="0"/>
          <w:smallCaps w:val="0"/>
          <w:strike w:val="0"/>
          <w:sz w:val="20"/>
          <w:u w:val="none"/>
        </w:rPr>
        <w:t>, Flater</w:t>
      </w:r>
      <w:r>
        <w:rPr>
          <w:b w:val="0"/>
          <w:i w:val="0"/>
          <w:smallCaps w:val="0"/>
          <w:strike w:val="0"/>
          <w:sz w:val="20"/>
          <w:u w:val="none"/>
        </w:rPr>
        <w:t xml:space="preserve">, Respondent, v. </w:t>
      </w:r>
      <w:r>
        <w:rPr>
          <w:b w:val="0"/>
          <w:i w:val="0"/>
          <w:smallCaps w:val="0"/>
          <w:strike w:val="0"/>
          <w:sz w:val="20"/>
          <w:u w:val="none"/>
        </w:rPr>
        <w:t>Brennan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et al., Appellants No. 62500 Supreme Court of New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York, Appellate Division, Third Department 173 A.D.2d 945; 569 N.Y.S.2d 808; 1991 N.Y. App. Div. </w:t>
      </w:r>
      <w:r>
        <w:rPr>
          <w:b w:val="0"/>
          <w:i w:val="0"/>
          <w:smallCaps w:val="0"/>
          <w:strike w:val="0"/>
          <w:sz w:val="20"/>
          <w:u w:val="none"/>
        </w:rPr>
        <w:t>lexis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5445</w:t>
      </w:r>
      <w:r>
        <w:rPr>
          <w:b w:val="0"/>
          <w:i w:val="0"/>
          <w:smallCaps w:val="0"/>
          <w:strike w:val="0"/>
          <w:sz w:val="20"/>
          <w:u w:val="none"/>
        </w:rPr>
        <w:t>]</w:t>
      </w:r>
    </w:p>
    <w:p>
      <w:pPr>
        <w:spacing w:after="60"/>
      </w:pPr>
      <w:r>
        <w:rPr>
          <w:b/>
          <w:i w:val="0"/>
          <w:smallCaps w:val="0"/>
          <w:strike w:val="0"/>
          <w:sz w:val="24"/>
          <w:u w:val="single"/>
        </w:rPr>
        <w:t>The term "significant" means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that the claimed limitation must be "</w:t>
      </w:r>
      <w:r>
        <w:rPr>
          <w:b/>
          <w:i w:val="0"/>
          <w:smallCaps w:val="0"/>
          <w:strike w:val="0"/>
          <w:sz w:val="24"/>
          <w:u w:val="single"/>
        </w:rPr>
        <w:t>'something more than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a </w:t>
      </w:r>
      <w:r>
        <w:rPr>
          <w:b/>
          <w:i w:val="0"/>
          <w:smallCaps w:val="0"/>
          <w:strike w:val="0"/>
          <w:sz w:val="24"/>
          <w:u w:val="single"/>
        </w:rPr>
        <w:t xml:space="preserve">minor </w:t>
      </w:r>
      <w:r>
        <w:rPr>
          <w:b w:val="0"/>
          <w:i w:val="0"/>
          <w:smallCaps w:val="0"/>
          <w:strike w:val="0"/>
          <w:sz w:val="20"/>
          <w:u w:val="none"/>
        </w:rPr>
        <w:t xml:space="preserve">limitation of use'" </w:t>
      </w:r>
      <w:r>
        <w:rPr>
          <w:b w:val="0"/>
          <w:i w:val="0"/>
          <w:smallCaps w:val="0"/>
          <w:strike w:val="0"/>
          <w:sz w:val="20"/>
          <w:u w:val="none"/>
        </w:rPr>
        <w:t>( Colvin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v Maille, 127 AD2d 926, lv denied 69 NY2d 611, quoting Licari v Elliott, supra, at 236; see, </w:t>
      </w:r>
      <w:r>
        <w:rPr>
          <w:b w:val="0"/>
          <w:i w:val="0"/>
          <w:smallCaps w:val="0"/>
          <w:strike w:val="0"/>
          <w:sz w:val="20"/>
          <w:u w:val="none"/>
        </w:rPr>
        <w:t>Kordana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v </w:t>
      </w:r>
      <w:r>
        <w:rPr>
          <w:b w:val="0"/>
          <w:i w:val="0"/>
          <w:smallCaps w:val="0"/>
          <w:strike w:val="0"/>
          <w:sz w:val="20"/>
          <w:u w:val="none"/>
        </w:rPr>
        <w:t>Pomellito</w:t>
      </w:r>
      <w:r>
        <w:rPr>
          <w:b w:val="0"/>
          <w:i w:val="0"/>
          <w:smallCaps w:val="0"/>
          <w:strike w:val="0"/>
          <w:sz w:val="20"/>
          <w:u w:val="none"/>
        </w:rPr>
        <w:t xml:space="preserve">, 121 AD2d 783, 785, appeal dismissed 68 NY2d 848). </w:t>
      </w:r>
      <w:r>
        <w:rPr>
          <w:b/>
          <w:i w:val="0"/>
          <w:smallCaps w:val="0"/>
          <w:strike w:val="0"/>
          <w:sz w:val="24"/>
          <w:u w:val="single"/>
        </w:rPr>
        <w:t>Mere use</w:t>
      </w:r>
      <w:r>
        <w:rPr>
          <w:b/>
          <w:i w:val="0"/>
          <w:smallCaps w:val="0"/>
          <w:strike w:val="0"/>
          <w:sz w:val="24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>of the</w:t>
      </w:r>
      <w:r>
        <w:rPr>
          <w:b/>
          <w:i w:val="0"/>
          <w:smallCaps w:val="0"/>
          <w:strike w:val="0"/>
          <w:sz w:val="24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u w:val="none"/>
        </w:rPr>
        <w:t xml:space="preserve">conclusory </w:t>
      </w:r>
      <w:r>
        <w:rPr>
          <w:b/>
          <w:i w:val="0"/>
          <w:smallCaps w:val="0"/>
          <w:strike w:val="0"/>
          <w:sz w:val="24"/>
          <w:u w:val="single"/>
        </w:rPr>
        <w:t>word</w:t>
      </w:r>
      <w:r>
        <w:rPr>
          <w:b/>
          <w:i w:val="0"/>
          <w:smallCaps w:val="0"/>
          <w:strike w:val="0"/>
          <w:sz w:val="24"/>
          <w:u w:val="single"/>
        </w:rPr>
        <w:t xml:space="preserve"> "significant"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in the affidavit of a treating physician </w:t>
      </w:r>
      <w:r>
        <w:rPr>
          <w:b/>
          <w:i w:val="0"/>
          <w:smallCaps w:val="0"/>
          <w:strike w:val="0"/>
          <w:sz w:val="24"/>
          <w:u w:val="single"/>
        </w:rPr>
        <w:t>is not sufficient to establish serious injury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(see, Lopez v Senatore, 65 NY2d 1017, 1019; </w:t>
      </w:r>
      <w:r>
        <w:rPr>
          <w:b w:val="0"/>
          <w:i w:val="0"/>
          <w:smallCaps w:val="0"/>
          <w:strike w:val="0"/>
          <w:sz w:val="20"/>
          <w:u w:val="none"/>
        </w:rPr>
        <w:t>Leschen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v Kollarits, 144 AD2d 122).</w:t>
      </w:r>
    </w:p>
    <w:p>
      <w:pPr>
        <w:pStyle w:val="Caption"/>
      </w:pPr>
      <w:r>
        <w:t>Source: Topicality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