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6"/>
          <w:u w:val="none"/>
        </w:rPr>
        <w:t>Effective policy analysis requires specification of “significantly.”</w:t>
      </w:r>
    </w:p>
    <w:p>
      <w:pPr>
        <w:spacing w:after="80"/>
      </w:pPr>
      <w:r>
        <w:rPr>
          <w:b/>
          <w:i w:val="0"/>
          <w:smallCaps w:val="0"/>
          <w:strike w:val="0"/>
          <w:sz w:val="26"/>
          <w:u w:val="none"/>
        </w:rPr>
        <w:t>DPWG ’14</w:t>
      </w:r>
      <w:r>
        <w:rPr>
          <w:b w:val="0"/>
          <w:i w:val="0"/>
          <w:smallCaps w:val="0"/>
          <w:strike w:val="0"/>
          <w:sz w:val="20"/>
          <w:u w:val="none"/>
        </w:rPr>
        <w:t xml:space="preserve"> [</w:t>
      </w:r>
      <w:r>
        <w:rPr>
          <w:b w:val="0"/>
          <w:i w:val="0"/>
          <w:smallCaps w:val="0"/>
          <w:strike w:val="0"/>
          <w:sz w:val="20"/>
          <w:u w:val="none"/>
        </w:rPr>
        <w:t>Development Partners Working Group</w:t>
      </w:r>
      <w:r>
        <w:rPr>
          <w:b w:val="0"/>
          <w:i w:val="0"/>
          <w:smallCaps w:val="0"/>
          <w:strike w:val="0"/>
          <w:sz w:val="20"/>
          <w:u w:val="none"/>
        </w:rPr>
        <w:t>; November 14; “</w:t>
      </w:r>
      <w:r>
        <w:rPr>
          <w:b w:val="0"/>
          <w:i w:val="0"/>
          <w:smallCaps w:val="0"/>
          <w:strike w:val="0"/>
          <w:sz w:val="20"/>
          <w:u w:val="none"/>
        </w:rPr>
        <w:t xml:space="preserve">How to localize targets and indicators of the </w:t>
      </w:r>
      <w:r>
        <w:rPr>
          <w:b w:val="0"/>
          <w:i w:val="0"/>
          <w:smallCaps w:val="0"/>
          <w:strike w:val="0"/>
          <w:sz w:val="20"/>
          <w:u w:val="none"/>
        </w:rPr>
        <w:t>Post-2015agenda</w:t>
      </w:r>
      <w:r>
        <w:rPr>
          <w:b w:val="0"/>
          <w:i w:val="0"/>
          <w:smallCaps w:val="0"/>
          <w:strike w:val="0"/>
          <w:sz w:val="20"/>
          <w:u w:val="none"/>
        </w:rPr>
        <w:t xml:space="preserve">,” </w:t>
      </w:r>
      <w:r>
        <w:rPr>
          <w:b w:val="0"/>
          <w:i w:val="0"/>
          <w:smallCaps w:val="0"/>
          <w:strike w:val="0"/>
          <w:sz w:val="20"/>
          <w:u w:val="none"/>
        </w:rPr>
        <w:t>http://www.</w:t>
      </w:r>
      <w:r>
        <w:rPr>
          <w:b w:val="0"/>
          <w:i w:val="0"/>
          <w:smallCaps w:val="0"/>
          <w:strike w:val="0"/>
          <w:sz w:val="20"/>
          <w:u w:val="none"/>
        </w:rPr>
        <w:t>uclg.org/sites/default/files/localization_targets_indicator_web.pdf]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 xml:space="preserve">Target 16.1 </w:t>
      </w:r>
      <w:r>
        <w:rPr>
          <w:b/>
          <w:i w:val="0"/>
          <w:smallCaps w:val="0"/>
          <w:strike w:val="0"/>
          <w:sz w:val="24"/>
          <w:u w:val="single"/>
        </w:rPr>
        <w:t>Significantly reduce all forms of violence and related death rates everywhere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(b) Proposed indicators: Proposed indicators Possible alternative indicators Comments (Linkages, disaggregation and sources) 1. Violent injuries, deaths and homicide rates (per 1,000,000 habitants) Linkages: 11.7 Disaggregation by: homicides by gender/ injuries by type, sex and age/geographical breakdowns TBC (Some disaggregated data for most populous cities) Sources: Interpol, UN Crime Trends Survey, UNODC, WHO Mortality Database. Limitations: Data partially available. 2. Refugees and internally displaced persons (IDPs) caused by conflict and violence Linkages: N/A. Disaggregation by: By territory of residence (or refugees by country / territory of asylum), location of residence (within country), country of origin (refugees), gender, age and population type. Sources: UNHCR. Comments: </w:t>
      </w:r>
      <w:r>
        <w:rPr>
          <w:b/>
          <w:i w:val="0"/>
          <w:smallCaps w:val="0"/>
          <w:strike w:val="0"/>
          <w:sz w:val="24"/>
          <w:u w:val="single"/>
        </w:rPr>
        <w:t>For the target to be SMART it requires clarification of what ‘significantly</w:t>
      </w:r>
      <w:r>
        <w:rPr>
          <w:b w:val="0"/>
          <w:i w:val="0"/>
          <w:smallCaps w:val="0"/>
          <w:strike w:val="0"/>
          <w:sz w:val="20"/>
          <w:u w:val="none"/>
        </w:rPr>
        <w:t xml:space="preserve"> </w:t>
      </w:r>
      <w:r>
        <w:rPr>
          <w:b w:val="0"/>
          <w:i w:val="0"/>
          <w:smallCaps w:val="0"/>
          <w:strike w:val="0"/>
          <w:sz w:val="16"/>
          <w:u w:val="none"/>
        </w:rPr>
        <w:t>reduce’</w:t>
      </w:r>
      <w:r>
        <w:rPr>
          <w:b/>
          <w:i w:val="0"/>
          <w:smallCaps w:val="0"/>
          <w:strike w:val="0"/>
          <w:sz w:val="24"/>
          <w:u w:val="single"/>
        </w:rPr>
        <w:t xml:space="preserve"> means.</w:t>
      </w:r>
    </w:p>
    <w:p>
      <w:pPr>
        <w:pStyle w:val="Caption"/>
      </w:pPr>
      <w:r>
        <w:t>Source: Topicality - Michigan 2024 STARTER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