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Significance is ambiguous.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Davis ’6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[Ronald; Fall; </w:t>
      </w:r>
      <w:r>
        <w:rPr>
          <w:b w:val="0"/>
          <w:i w:val="0"/>
          <w:smallCaps w:val="0"/>
          <w:strike w:val="0"/>
          <w:sz w:val="20"/>
          <w:u w:val="none"/>
        </w:rPr>
        <w:t>independent antitrust practitioner in Atlanta, Georgia, and has consulted on some of the litigation discussed in this article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ABA Antitrust Magazine, “Reverse Payment Patent Settlements: A View </w:t>
      </w:r>
      <w:r>
        <w:rPr>
          <w:b w:val="0"/>
          <w:i w:val="0"/>
          <w:smallCaps w:val="0"/>
          <w:strike w:val="0"/>
          <w:sz w:val="20"/>
          <w:u w:val="none"/>
        </w:rPr>
        <w:t>Into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Abyss, And a Modest Proposal,” 21 Antitrust ABA 26]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Hovenkamp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supra note 38, at 1758 (footnote omitted). O'Rourke and Brodley rightly note that </w:t>
      </w:r>
      <w:r>
        <w:rPr>
          <w:b/>
          <w:i w:val="0"/>
          <w:smallCaps w:val="0"/>
          <w:strike w:val="0"/>
          <w:sz w:val="24"/>
          <w:u w:val="single"/>
        </w:rPr>
        <w:t>the rule is ambiguous, because a "significant" likelihood of success means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different things to different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Maureen A. O'Rourke &amp; Joseph A. Brodley, An Incentives Approach to Patent Settlements: A Commentary on </w:t>
      </w:r>
      <w:r>
        <w:rPr>
          <w:b w:val="0"/>
          <w:i w:val="0"/>
          <w:smallCaps w:val="0"/>
          <w:strike w:val="0"/>
          <w:sz w:val="16"/>
          <w:u w:val="none"/>
        </w:rPr>
        <w:t>Hovenkamp</w:t>
      </w:r>
      <w:r>
        <w:rPr>
          <w:b w:val="0"/>
          <w:i w:val="0"/>
          <w:smallCaps w:val="0"/>
          <w:strike w:val="0"/>
          <w:sz w:val="16"/>
          <w:u w:val="none"/>
        </w:rPr>
        <w:t>, Janis and Lemley, 87 MINN. L. REV. 1767, 1783 (2003).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