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Clarifying a standard of review is not strengthening IP rights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Mandel ’18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[Gregory N.; January; Dean &amp; Peter J. Liacouras Professor of Law, Temple University; Minnesota Law Review, “Institutional Fracture in Intellectual Property Law: The Supreme Court Versus Congress,” 102:803]</w:t>
      </w:r>
    </w:p>
    <w:p>
      <w:pPr>
        <w:spacing w:after="60"/>
      </w:pPr>
      <w:r>
        <w:rPr>
          <w:b/>
          <w:i w:val="0"/>
          <w:smallCaps w:val="0"/>
          <w:strike w:val="0"/>
          <w:sz w:val="24"/>
          <w:u w:val="single"/>
        </w:rPr>
        <w:t>A number of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Supreme </w:t>
      </w:r>
      <w:r>
        <w:rPr>
          <w:b/>
          <w:i w:val="0"/>
          <w:smallCaps w:val="0"/>
          <w:strike w:val="0"/>
          <w:sz w:val="24"/>
          <w:u w:val="single"/>
        </w:rPr>
        <w:t>Court decisions are neutral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this regard. </w:t>
      </w:r>
      <w:r>
        <w:rPr>
          <w:b/>
          <w:i w:val="0"/>
          <w:smallCaps w:val="0"/>
          <w:strike w:val="0"/>
          <w:sz w:val="24"/>
          <w:u w:val="single"/>
        </w:rPr>
        <w:t>Neutral coding can occur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>for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multiple reasons, such as </w:t>
      </w:r>
      <w:r>
        <w:rPr>
          <w:b/>
          <w:i w:val="0"/>
          <w:smallCaps w:val="0"/>
          <w:strike w:val="0"/>
          <w:sz w:val="24"/>
          <w:u w:val="single"/>
        </w:rPr>
        <w:t>procedural decisions that affect both intellectual property owners and opposing parties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>in equivalent manners, or decisions that regulate ownership among competing claimants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/>
          <w:i w:val="0"/>
          <w:smallCaps w:val="0"/>
          <w:strike w:val="0"/>
          <w:sz w:val="24"/>
          <w:u w:val="single"/>
        </w:rPr>
        <w:t>An example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of the former type of neutral decision </w:t>
      </w:r>
      <w:r>
        <w:rPr>
          <w:b/>
          <w:i w:val="0"/>
          <w:smallCaps w:val="0"/>
          <w:strike w:val="0"/>
          <w:sz w:val="24"/>
          <w:u w:val="single"/>
        </w:rPr>
        <w:t>is Teva Pharmaceuticals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USA, Inc. v. Sandoz, Inc.13 </w:t>
      </w:r>
      <w:r>
        <w:rPr>
          <w:b/>
          <w:i w:val="0"/>
          <w:smallCaps w:val="0"/>
          <w:strike w:val="0"/>
          <w:sz w:val="24"/>
          <w:u w:val="single"/>
        </w:rPr>
        <w:t>This case clarified the proper standard of appellate review for a district court’s factual findings made in patent claim construction.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14 </w:t>
      </w:r>
      <w:r>
        <w:rPr>
          <w:b/>
          <w:i w:val="0"/>
          <w:smallCaps w:val="0"/>
          <w:strike w:val="0"/>
          <w:sz w:val="24"/>
          <w:u w:val="single"/>
        </w:rPr>
        <w:t>The Court held that the standard of review is clear erro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r,15 </w:t>
      </w:r>
      <w:r>
        <w:rPr>
          <w:b/>
          <w:i w:val="0"/>
          <w:smallCaps w:val="0"/>
          <w:strike w:val="0"/>
          <w:sz w:val="24"/>
          <w:u w:val="single"/>
        </w:rPr>
        <w:t xml:space="preserve">a decision that </w:t>
      </w:r>
      <w:r>
        <w:rPr>
          <w:b/>
          <w:i w:val="0"/>
          <w:smallCaps w:val="0"/>
          <w:strike w:val="0"/>
          <w:sz w:val="24"/>
          <w:u w:val="single"/>
        </w:rPr>
        <w:t>neither strengthened nor weakened</w:t>
      </w:r>
      <w:r>
        <w:rPr>
          <w:b/>
          <w:i w:val="0"/>
          <w:smallCaps w:val="0"/>
          <w:strike w:val="0"/>
          <w:sz w:val="24"/>
          <w:u w:val="single"/>
        </w:rPr>
        <w:t xml:space="preserve"> intellectual property owner rights because sometimes district courts construe patent claims in favor of patentees and other times in favor of alleged infringers.</w:t>
      </w:r>
      <w:r>
        <w:rPr>
          <w:b w:val="0"/>
          <w:i w:val="0"/>
          <w:smallCaps w:val="0"/>
          <w:strike w:val="0"/>
          <w:sz w:val="16"/>
          <w:u w:val="none"/>
        </w:rPr>
        <w:t>16 Decisions that neither strengthened nor weakened intellectual property rights were classified as neutral.</w:t>
      </w:r>
    </w:p>
    <w:p>
      <w:pPr>
        <w:pStyle w:val="Caption"/>
      </w:pPr>
      <w:r>
        <w:t>Source: Topicality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