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Administrative changes to PTO and the Copyright Office, or extending sunset provisions, don’t strengthen protection of IP </w:t>
      </w:r>
      <w:r>
        <w:rPr>
          <w:b/>
          <w:i w:val="0"/>
          <w:smallCaps w:val="0"/>
          <w:strike w:val="0"/>
          <w:sz w:val="26"/>
          <w:u w:val="single"/>
        </w:rPr>
        <w:t>rights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Mandel ’18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[Gregory N.; January; Dean &amp; Peter J. Liacouras Professor of Law, Temple University; Minnesota Law Review, “Institutional Fracture in Intellectual Property Law: The Supreme Court Versus Congress,” 102:803]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Utilizing the same methodology described above,94 </w:t>
      </w:r>
      <w:r>
        <w:rPr>
          <w:b/>
          <w:i w:val="0"/>
          <w:smallCaps w:val="0"/>
          <w:strike w:val="0"/>
          <w:sz w:val="24"/>
          <w:u w:val="single"/>
        </w:rPr>
        <w:t>three coders classified each legislative action as strengthening intellectual property rights, weakening intellectual property rights, or being neutral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respect to such rights. Initial agreement exceeded 90%, and all discrepancies were resolved by discussion and research concerning the legislation in question.95 Though certain of the statutes included multiple provisions, each was considered as a unitary whole for analysis because each statute is passed as a single legislative act.96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At first glance, forty-three legislative acts may sound like a surprisingly high level of activity, but </w:t>
      </w:r>
      <w:r>
        <w:rPr>
          <w:b/>
          <w:i w:val="0"/>
          <w:smallCaps w:val="0"/>
          <w:strike w:val="0"/>
          <w:sz w:val="24"/>
          <w:u w:val="single"/>
        </w:rPr>
        <w:t>many of these acts were administrative or procedural in nature, with a neutral effect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on intellectual property rights. </w:t>
      </w:r>
      <w:r>
        <w:rPr>
          <w:b/>
          <w:i w:val="0"/>
          <w:smallCaps w:val="0"/>
          <w:strike w:val="0"/>
          <w:sz w:val="24"/>
          <w:u w:val="single"/>
        </w:rPr>
        <w:t xml:space="preserve">Examples include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laws concerning internal organization</w:t>
      </w:r>
      <w:r>
        <w:rPr>
          <w:b/>
          <w:i w:val="0"/>
          <w:smallCaps w:val="0"/>
          <w:strike w:val="0"/>
          <w:sz w:val="24"/>
          <w:u w:val="single"/>
        </w:rPr>
        <w:t xml:space="preserve"> at the PTO and the Copyright Office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,97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statutes that transferred authority to</w:t>
      </w:r>
      <w:r>
        <w:rPr>
          <w:b/>
          <w:i w:val="0"/>
          <w:smallCaps w:val="0"/>
          <w:strike w:val="0"/>
          <w:sz w:val="24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appoint</w:t>
      </w:r>
      <w:r>
        <w:rPr>
          <w:b/>
          <w:i w:val="0"/>
          <w:smallCaps w:val="0"/>
          <w:strike w:val="0"/>
          <w:sz w:val="24"/>
          <w:u w:val="single"/>
        </w:rPr>
        <w:t xml:space="preserve"> administrative patent and trademark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judges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,98 </w:t>
      </w:r>
      <w:r>
        <w:rPr>
          <w:b/>
          <w:i w:val="0"/>
          <w:smallCaps w:val="0"/>
          <w:strike w:val="0"/>
          <w:sz w:val="24"/>
          <w:u w:val="single"/>
        </w:rPr>
        <w:t xml:space="preserve">and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laws that extended sunset provisions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.99 Removing these laws from the dataset leaves twenty congressional acts of legislation over the past fourteen years that substantively impacted intellectual property owners’ rights. </w:t>
      </w:r>
    </w:p>
    <w:p>
      <w:pPr>
        <w:pStyle w:val="Caption"/>
      </w:pPr>
      <w:r>
        <w:t>Source: Topicality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