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Making IP more difficult to prove infringement weakens protection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two most prominent trademark cases decided during this time period were likely Moseley v. V Secret Catalogue, Inc.63 and </w:t>
      </w:r>
      <w:r>
        <w:rPr>
          <w:b w:val="0"/>
          <w:i w:val="0"/>
          <w:smallCaps w:val="0"/>
          <w:strike w:val="0"/>
          <w:sz w:val="16"/>
          <w:u w:val="none"/>
        </w:rPr>
        <w:t>Dastar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Corp. v. Twentieth Century Fox Film Corp.64 In Moseley, Victoria’s Secret sought to enjoin the </w:t>
      </w:r>
      <w:r>
        <w:rPr>
          <w:b w:val="0"/>
          <w:i w:val="0"/>
          <w:smallCaps w:val="0"/>
          <w:strike w:val="0"/>
          <w:sz w:val="16"/>
          <w:u w:val="none"/>
        </w:rPr>
        <w:t>Moseleys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using the name “Victor’s Little Secret” for a store selling lingerie and adult novelty items.65 Victoria’s Secret argued that the Moseley’s use of “Victor’s Little Secret” would dilute Victoria’s Secret’s brand.66 </w:t>
      </w:r>
      <w:r>
        <w:rPr>
          <w:b/>
          <w:i w:val="0"/>
          <w:smallCaps w:val="0"/>
          <w:strike w:val="0"/>
          <w:sz w:val="24"/>
          <w:u w:val="single"/>
        </w:rPr>
        <w:t>The district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circuit court </w:t>
      </w:r>
      <w:r>
        <w:rPr>
          <w:b/>
          <w:i w:val="0"/>
          <w:smallCaps w:val="0"/>
          <w:strike w:val="0"/>
          <w:sz w:val="24"/>
          <w:u w:val="single"/>
        </w:rPr>
        <w:t>held that the two names were sufficiently similar such that Victor’s Little Secret would dilute Victoria’s Secret brand through tarnishment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.67 </w:t>
      </w:r>
      <w:r>
        <w:rPr>
          <w:b/>
          <w:i w:val="0"/>
          <w:smallCaps w:val="0"/>
          <w:strike w:val="0"/>
          <w:sz w:val="24"/>
          <w:u w:val="single"/>
        </w:rPr>
        <w:t>The Supreme Court reversed, holding that dilution requires proof of “actual dilution,” not simply the possibility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probability </w:t>
      </w:r>
      <w:r>
        <w:rPr>
          <w:b/>
          <w:i w:val="0"/>
          <w:smallCaps w:val="0"/>
          <w:strike w:val="0"/>
          <w:sz w:val="24"/>
          <w:u w:val="single"/>
        </w:rPr>
        <w:t>of dilution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.68 </w:t>
      </w:r>
      <w:r>
        <w:rPr>
          <w:b/>
          <w:i w:val="0"/>
          <w:smallCaps w:val="0"/>
          <w:strike w:val="0"/>
          <w:sz w:val="24"/>
          <w:u w:val="single"/>
        </w:rPr>
        <w:t>This result weakened protection by making dilution more difficult to prove for trademark owners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.69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