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Limiting enforcement remedies weakens IP protection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Mandel ’18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[Gregory N.; January; Dean &amp; Peter J. Liacouras Professor of Law, Temple University; Minnesota Law Review, “Institutional Fracture in Intellectual Property Law: The Supreme Court Versus Congress,” 102:803]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in the context of patent enforcement, </w:t>
      </w:r>
      <w:r>
        <w:rPr>
          <w:b/>
          <w:i w:val="0"/>
          <w:smallCaps w:val="0"/>
          <w:strike w:val="0"/>
          <w:sz w:val="24"/>
          <w:u w:val="single"/>
        </w:rPr>
        <w:t>eBay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Inc. v. </w:t>
      </w:r>
      <w:r>
        <w:rPr>
          <w:b w:val="0"/>
          <w:i w:val="0"/>
          <w:smallCaps w:val="0"/>
          <w:strike w:val="0"/>
          <w:sz w:val="16"/>
          <w:u w:val="none"/>
        </w:rPr>
        <w:t>MercExchange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L.L.C. </w:t>
      </w:r>
      <w:r>
        <w:rPr>
          <w:b/>
          <w:i w:val="0"/>
          <w:smallCaps w:val="0"/>
          <w:strike w:val="0"/>
          <w:sz w:val="24"/>
          <w:u w:val="single"/>
        </w:rPr>
        <w:t>reversed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century of common </w:t>
      </w:r>
      <w:r>
        <w:rPr>
          <w:b/>
          <w:i w:val="0"/>
          <w:smallCaps w:val="0"/>
          <w:strike w:val="0"/>
          <w:sz w:val="24"/>
          <w:u w:val="single"/>
        </w:rPr>
        <w:t>patent practice in holding that injunctions should not routinely issue based on a finding of patent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.38 Rather, federal courts are now directed to weigh the more general four-factor test to determine whether an injunction should apply.39 </w:t>
      </w:r>
      <w:r>
        <w:rPr>
          <w:b/>
          <w:i w:val="0"/>
          <w:smallCaps w:val="0"/>
          <w:strike w:val="0"/>
          <w:sz w:val="24"/>
          <w:u w:val="single"/>
        </w:rPr>
        <w:t>Prior to eBay, prevailing patentees obtained injunctions in nearly every 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which they proved infringement.40 </w:t>
      </w:r>
      <w:r>
        <w:rPr>
          <w:b/>
          <w:i w:val="0"/>
          <w:smallCaps w:val="0"/>
          <w:strike w:val="0"/>
          <w:sz w:val="24"/>
          <w:u w:val="single"/>
        </w:rPr>
        <w:t xml:space="preserve">Subsequent to eBay, approximately 27% of infringement verdicts have resulted in damages rewards without an injunction, thereby </w:t>
      </w:r>
      <w:r>
        <w:rPr>
          <w:b/>
          <w:i w:val="0"/>
          <w:smallCaps w:val="0"/>
          <w:strike w:val="0"/>
          <w:sz w:val="24"/>
          <w:u w:val="single"/>
        </w:rPr>
        <w:t>weakening patent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.41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