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“Its” is </w:t>
      </w:r>
      <w:r>
        <w:rPr>
          <w:b/>
          <w:i w:val="0"/>
          <w:smallCaps w:val="0"/>
          <w:strike w:val="0"/>
          <w:sz w:val="26"/>
          <w:u w:val="single"/>
        </w:rPr>
        <w:t>exclusive</w:t>
      </w:r>
      <w:r>
        <w:rPr>
          <w:b/>
          <w:i w:val="0"/>
          <w:smallCaps w:val="0"/>
          <w:strike w:val="0"/>
          <w:sz w:val="26"/>
          <w:u w:val="none"/>
        </w:rPr>
        <w:t xml:space="preserve">---legal interpretations mean the plan must </w:t>
      </w:r>
      <w:r>
        <w:rPr>
          <w:b/>
          <w:i w:val="0"/>
          <w:smallCaps w:val="0"/>
          <w:strike w:val="0"/>
          <w:sz w:val="26"/>
          <w:u w:val="single"/>
        </w:rPr>
        <w:t>solely</w:t>
      </w:r>
      <w:r>
        <w:rPr>
          <w:b/>
          <w:i w:val="0"/>
          <w:smallCaps w:val="0"/>
          <w:strike w:val="0"/>
          <w:sz w:val="26"/>
          <w:u w:val="none"/>
        </w:rPr>
        <w:t xml:space="preserve"> apply to </w:t>
      </w:r>
      <w:r>
        <w:rPr>
          <w:b/>
          <w:i w:val="0"/>
          <w:smallCaps w:val="0"/>
          <w:strike w:val="0"/>
          <w:sz w:val="26"/>
          <w:u w:val="none"/>
        </w:rPr>
        <w:t xml:space="preserve">federal IPR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Brent ’10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0"/>
          <w:u w:val="none"/>
        </w:rPr>
        <w:t>Douglas F.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June 2; </w:t>
      </w:r>
      <w:r>
        <w:rPr>
          <w:b w:val="0"/>
          <w:i w:val="0"/>
          <w:smallCaps w:val="0"/>
          <w:strike w:val="0"/>
          <w:sz w:val="20"/>
          <w:u w:val="none"/>
        </w:rPr>
        <w:t>attorney</w:t>
      </w:r>
      <w:r>
        <w:rPr>
          <w:b w:val="0"/>
          <w:i w:val="0"/>
          <w:smallCaps w:val="0"/>
          <w:strike w:val="0"/>
          <w:sz w:val="20"/>
          <w:u w:val="none"/>
        </w:rPr>
        <w:t>;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“Reply Brief on Threshold Issues of Cricket Communications, Inc.,” online: 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i</w:t>
      </w:r>
      <w:r>
        <w:rPr>
          <w:b w:val="0"/>
          <w:i w:val="0"/>
          <w:smallCaps w:val="0"/>
          <w:strike w:val="0"/>
          <w:sz w:val="20"/>
          <w:u w:val="none"/>
        </w:rPr>
        <w:t>talics and bold in the original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AT&amp;T also argues that Merger Commitment 7.4 only permits extension of “any given” interconnection agreement for a single </w:t>
      </w:r>
      <w:r>
        <w:rPr>
          <w:b w:val="0"/>
          <w:i w:val="0"/>
          <w:smallCaps w:val="0"/>
          <w:strike w:val="0"/>
          <w:sz w:val="16"/>
          <w:u w:val="none"/>
        </w:rPr>
        <w:t>three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term. AT&amp;T Brief at 12. Specifically, AT&amp;T asserts that because Cricket adopted the interconnection agreement between Sprint and AT&amp;T, which itself was extended, Cricket is precluded from extending the term of its agreement with AT&amp;T. Id This argument relies upon an inaccurate assumption: that the agreement (contract) between Sprint and AT&amp;T, and the agreement (contract) between Cricket and AT&amp;T, are one and the same. In other words, to accept AT&amp;T’s argument the Commission must conclude that two separate contracts, i.e. the interconnection between Sprint and AT&amp;T in Kentucky (“Sprint Kentucky Agreement”) and the interconnection between Cricket and AT&amp;T in Kentucky (“Cricket Kentucky Agreement”), are one and the same. Upon this unstated (and inaccurate) premise AT&amp;T asserts that “</w:t>
      </w:r>
      <w:r>
        <w:rPr>
          <w:b/>
          <w:i/>
          <w:smallCaps w:val="0"/>
          <w:strike w:val="0"/>
          <w:sz w:val="16"/>
          <w:u w:val="none"/>
        </w:rPr>
        <w:t>the ICA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already extended</w:t>
      </w:r>
      <w:r>
        <w:rPr>
          <w:b w:val="0"/>
          <w:i w:val="0"/>
          <w:smallCaps w:val="0"/>
          <w:strike w:val="0"/>
          <w:sz w:val="16"/>
          <w:u w:val="none"/>
        </w:rPr>
        <w:t>”;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id. at 14, and “</w:t>
      </w:r>
      <w:r>
        <w:rPr>
          <w:b/>
          <w:i/>
          <w:smallCaps w:val="0"/>
          <w:strike w:val="0"/>
          <w:sz w:val="16"/>
          <w:u w:val="none"/>
        </w:rPr>
        <w:t>the ICA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Cricket seeks to extend was extended by Sprint </w:t>
      </w:r>
      <w:r>
        <w:rPr>
          <w:b w:val="0"/>
          <w:i w:val="0"/>
          <w:smallCaps w:val="0"/>
          <w:strike w:val="0"/>
          <w:sz w:val="16"/>
          <w:u w:val="none"/>
        </w:rPr>
        <w:t>. . .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”; id. at 15, and, finally, “Cricket cannot extend </w:t>
      </w:r>
      <w:r>
        <w:rPr>
          <w:b/>
          <w:i/>
          <w:smallCaps w:val="0"/>
          <w:strike w:val="0"/>
          <w:sz w:val="16"/>
          <w:u w:val="none"/>
        </w:rPr>
        <w:t>the same ICA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second time </w:t>
      </w:r>
      <w:r>
        <w:rPr>
          <w:b w:val="0"/>
          <w:i w:val="0"/>
          <w:smallCaps w:val="0"/>
          <w:strike w:val="0"/>
          <w:sz w:val="16"/>
          <w:u w:val="none"/>
        </w:rPr>
        <w:t>. . .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Id. (emphasis added in all). Note that in the quoted portions of the AT&amp;T brief (and elsewhere) </w:t>
      </w:r>
      <w:r>
        <w:rPr>
          <w:b w:val="0"/>
          <w:i w:val="0"/>
          <w:smallCaps w:val="0"/>
          <w:strike w:val="0"/>
          <w:sz w:val="20"/>
          <w:u w:val="single"/>
        </w:rPr>
        <w:t>AT&amp;T uses vague and imprecise language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referring to either the Sprint Kentucky Agreement, or the Cricket Kentucky Agreement, 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 hopes that the Commission will treat the two contracts as </w:t>
      </w:r>
      <w:r>
        <w:rPr>
          <w:b w:val="0"/>
          <w:i w:val="0"/>
          <w:smallCaps w:val="0"/>
          <w:strike w:val="0"/>
          <w:sz w:val="16"/>
          <w:u w:val="none"/>
        </w:rPr>
        <w:t>one 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same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it would be a mistake to do so. The contract governing AT&amp;T’s duties and obligations with Sprint is a legally distinct and separate contract from that which governs AT&amp;T’s duties with Cricket. The Sprint Kentucky Agreement was approved by the Commission in September of 2001 in Case Number 2000-00480. The Cricket Kentucky Agreement was approved by the Commission in September of 2008 in Case Number 2008-033 1.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AT&amp;T ignores </w:t>
      </w:r>
      <w:r>
        <w:rPr>
          <w:b w:val="0"/>
          <w:i w:val="0"/>
          <w:smallCaps w:val="0"/>
          <w:strike w:val="0"/>
          <w:sz w:val="16"/>
          <w:u w:val="none"/>
        </w:rPr>
        <w:t>the fact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these are two separate and distinct contracts because it knows that the merger commitments apply to </w:t>
      </w:r>
      <w:r>
        <w:rPr>
          <w:b/>
          <w:i/>
          <w:smallCaps w:val="0"/>
          <w:strike w:val="0"/>
          <w:sz w:val="20"/>
          <w:u w:val="single"/>
        </w:rPr>
        <w:t>each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an individual telecommunications carrier has with AT&amp;T. Notably, Merger Commitment 7.4 states that “AT&amp;T/BellSouth ILECs shall permit </w:t>
      </w:r>
      <w:r>
        <w:rPr>
          <w:b/>
          <w:i/>
          <w:smallCaps w:val="0"/>
          <w:strike w:val="0"/>
          <w:sz w:val="16"/>
          <w:u w:val="none"/>
        </w:rPr>
        <w:t>a requesting telecommunications carrier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extend </w:t>
      </w:r>
      <w:r>
        <w:rPr>
          <w:b/>
          <w:i/>
          <w:smallCaps w:val="0"/>
          <w:strike w:val="0"/>
          <w:sz w:val="16"/>
          <w:u w:val="none"/>
        </w:rPr>
        <w:t>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 interconnection agreement </w:t>
      </w:r>
      <w:r>
        <w:rPr>
          <w:b w:val="0"/>
          <w:i w:val="0"/>
          <w:smallCaps w:val="0"/>
          <w:strike w:val="0"/>
          <w:sz w:val="16"/>
          <w:u w:val="none"/>
        </w:rPr>
        <w:t>. . .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written, </w:t>
      </w:r>
      <w:r>
        <w:rPr>
          <w:b w:val="0"/>
          <w:i w:val="0"/>
          <w:smallCaps w:val="0"/>
          <w:strike w:val="0"/>
          <w:sz w:val="20"/>
          <w:u w:val="single"/>
        </w:rPr>
        <w:t>the commitment allows any carrier to extend “</w:t>
      </w:r>
      <w:r>
        <w:rPr>
          <w:b/>
          <w:i/>
          <w:smallCaps w:val="0"/>
          <w:strike w:val="0"/>
          <w:sz w:val="20"/>
          <w:u w:val="single"/>
        </w:rPr>
        <w:t>its</w:t>
      </w:r>
      <w:r>
        <w:rPr>
          <w:b w:val="0"/>
          <w:i w:val="0"/>
          <w:smallCaps w:val="0"/>
          <w:strike w:val="0"/>
          <w:sz w:val="20"/>
          <w:u w:val="single"/>
        </w:rPr>
        <w:t>” agreement</w:t>
      </w:r>
      <w:r>
        <w:rPr>
          <w:b w:val="0"/>
          <w:i w:val="0"/>
          <w:smallCaps w:val="0"/>
          <w:strike w:val="0"/>
          <w:sz w:val="16"/>
          <w:u w:val="none"/>
        </w:rPr>
        <w:t>. Clearly, the use of the pronoun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“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this context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possessive</w:t>
      </w:r>
      <w:r>
        <w:rPr>
          <w:b w:val="0"/>
          <w:i w:val="0"/>
          <w:smallCaps w:val="0"/>
          <w:strike w:val="0"/>
          <w:sz w:val="16"/>
          <w:u w:val="none"/>
        </w:rPr>
        <w:t>, such 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term “its”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means - </w:t>
      </w:r>
      <w:r>
        <w:rPr>
          <w:b/>
          <w:i/>
          <w:smallCaps w:val="0"/>
          <w:strike w:val="0"/>
          <w:sz w:val="2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particular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carrier’s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AT&amp;T </w:t>
      </w:r>
      <w:r>
        <w:rPr>
          <w:b/>
          <w:i w:val="0"/>
          <w:smallCaps w:val="0"/>
          <w:strike w:val="0"/>
          <w:sz w:val="24"/>
          <w:u w:val="single"/>
        </w:rPr>
        <w:t>(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and not any</w:t>
      </w:r>
      <w:r>
        <w:rPr>
          <w:b/>
          <w:i w:val="0"/>
          <w:smallCaps w:val="0"/>
          <w:strike w:val="0"/>
          <w:sz w:val="24"/>
          <w:u w:val="single"/>
        </w:rPr>
        <w:t xml:space="preserve"> other carrier’s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Thus, the merger commitment applies to each agreement that an individual carrier may have with AT&amp;T. It necessarily follows then, that Cricket’s right to extend its agreement under Merger Commitment 7.4 is separate and distinct right from another carrier’s right to extend its agreement with AT&amp;T (or whether such agreement has been extended).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