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Its</w:t>
      </w:r>
      <w:r>
        <w:rPr>
          <w:b/>
          <w:i w:val="0"/>
          <w:smallCaps w:val="0"/>
          <w:strike w:val="0"/>
          <w:sz w:val="26"/>
          <w:u w:val="none"/>
        </w:rPr>
        <w:t xml:space="preserve"> is </w:t>
      </w:r>
      <w:r>
        <w:rPr>
          <w:b/>
          <w:i w:val="0"/>
          <w:smallCaps w:val="0"/>
          <w:strike w:val="0"/>
          <w:sz w:val="26"/>
          <w:u w:val="single"/>
        </w:rPr>
        <w:t>possessive</w:t>
      </w:r>
      <w:r>
        <w:rPr>
          <w:b/>
          <w:i w:val="0"/>
          <w:smallCaps w:val="0"/>
          <w:strike w:val="0"/>
          <w:sz w:val="26"/>
          <w:u w:val="none"/>
        </w:rPr>
        <w:t xml:space="preserve"> and refers to the party preceding its use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US District Court 7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(United States District Court for the District of the Virgin Islands, Division of St. Thomas and St. John, “AGF Marine Aviation &amp; Transp. v. Cassin, 2007 U.S. Dist. LEXIS 90808,” Lexis)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Court inadvertently used the word "his" when the Court intended to use </w:t>
      </w:r>
      <w:r>
        <w:rPr>
          <w:b w:val="0"/>
          <w:i w:val="0"/>
          <w:smallCaps w:val="0"/>
          <w:strike w:val="0"/>
          <w:sz w:val="20"/>
          <w:u w:val="single"/>
        </w:rPr>
        <w:t>the word "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its</w:t>
      </w:r>
      <w:r>
        <w:rPr>
          <w:b w:val="0"/>
          <w:i w:val="0"/>
          <w:smallCaps w:val="0"/>
          <w:strike w:val="0"/>
          <w:sz w:val="20"/>
          <w:u w:val="single"/>
        </w:rPr>
        <w:t>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possessive pronoun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intended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refer to the party preceding its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--AGF. Indeed, that reference is consistent with the undisputed facts in this case, which indicate that Cassin completed an application for the insurance policy and submitted it to his agent, Theodore Tunick &amp; Company ("Tunick"). Tunick, in turn, submitted the application to AGF's underwriting agent, TL Dallas. (See Pl.'s Mem. of Law in Supp. of Mot. for </w:t>
      </w:r>
      <w:r>
        <w:rPr>
          <w:b w:val="0"/>
          <w:i w:val="0"/>
          <w:smallCaps w:val="0"/>
          <w:strike w:val="0"/>
          <w:sz w:val="16"/>
          <w:u w:val="none"/>
        </w:rPr>
        <w:t>Summ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J. 5.)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