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specifically </w:t>
      </w:r>
      <w:r>
        <w:rPr>
          <w:b/>
          <w:i w:val="0"/>
          <w:smallCaps w:val="0"/>
          <w:strike w:val="0"/>
          <w:sz w:val="26"/>
          <w:u w:val="single"/>
        </w:rPr>
        <w:t>distinct</w:t>
      </w:r>
      <w:r>
        <w:rPr>
          <w:b/>
          <w:i w:val="0"/>
          <w:smallCaps w:val="0"/>
          <w:strike w:val="0"/>
          <w:sz w:val="26"/>
          <w:u w:val="none"/>
        </w:rPr>
        <w:t xml:space="preserve"> from </w:t>
      </w:r>
      <w:r>
        <w:rPr>
          <w:b/>
          <w:i w:val="0"/>
          <w:smallCaps w:val="0"/>
          <w:strike w:val="0"/>
          <w:sz w:val="26"/>
          <w:u w:val="none"/>
        </w:rPr>
        <w:t>affs</w:t>
      </w:r>
      <w:r>
        <w:rPr>
          <w:b/>
          <w:i w:val="0"/>
          <w:smallCaps w:val="0"/>
          <w:strike w:val="0"/>
          <w:sz w:val="26"/>
          <w:u w:val="none"/>
        </w:rPr>
        <w:t xml:space="preserve"> about TRIPS and other multilateral agreements.</w:t>
      </w:r>
    </w:p>
    <w:p>
      <w:pPr>
        <w:spacing w:after="80"/>
      </w:pPr>
      <w:r>
        <w:rPr>
          <w:b/>
          <w:i w:val="0"/>
          <w:smallCaps w:val="0"/>
          <w:strike w:val="0"/>
          <w:sz w:val="26"/>
          <w:u w:val="none"/>
        </w:rPr>
        <w:t xml:space="preserve">Osei-Tutu </w:t>
      </w:r>
      <w:r>
        <w:rPr>
          <w:b/>
          <w:i w:val="0"/>
          <w:smallCaps w:val="0"/>
          <w:strike w:val="0"/>
          <w:sz w:val="26"/>
          <w:u w:val="none"/>
        </w:rPr>
        <w:t xml:space="preserve">’15 </w:t>
      </w:r>
      <w:r>
        <w:rPr>
          <w:b w:val="0"/>
          <w:i w:val="0"/>
          <w:smallCaps w:val="0"/>
          <w:strike w:val="0"/>
          <w:sz w:val="20"/>
          <w:u w:val="none"/>
        </w:rPr>
        <w:t>[</w:t>
      </w:r>
      <w:r>
        <w:rPr>
          <w:b w:val="0"/>
          <w:i w:val="0"/>
          <w:smallCaps w:val="0"/>
          <w:strike w:val="0"/>
          <w:sz w:val="20"/>
          <w:u w:val="none"/>
        </w:rPr>
        <w:t xml:space="preserve">J. </w:t>
      </w:r>
      <w:r>
        <w:rPr>
          <w:b w:val="0"/>
          <w:i w:val="0"/>
          <w:smallCaps w:val="0"/>
          <w:strike w:val="0"/>
          <w:sz w:val="20"/>
          <w:u w:val="none"/>
        </w:rPr>
        <w:t>Janewa</w:t>
      </w:r>
      <w:r>
        <w:rPr>
          <w:b w:val="0"/>
          <w:i w:val="0"/>
          <w:smallCaps w:val="0"/>
          <w:strike w:val="0"/>
          <w:sz w:val="20"/>
          <w:u w:val="none"/>
        </w:rPr>
        <w:t xml:space="preserve">; April 15; </w:t>
      </w:r>
      <w:r>
        <w:rPr>
          <w:b w:val="0"/>
          <w:i w:val="0"/>
          <w:smallCaps w:val="0"/>
          <w:strike w:val="0"/>
          <w:sz w:val="20"/>
          <w:u w:val="none"/>
        </w:rPr>
        <w:t>Associate Dean and Professor of Law at Florida International University</w:t>
      </w:r>
      <w:r>
        <w:rPr>
          <w:b w:val="0"/>
          <w:i w:val="0"/>
          <w:smallCaps w:val="0"/>
          <w:strike w:val="0"/>
          <w:sz w:val="20"/>
          <w:u w:val="none"/>
        </w:rPr>
        <w:t xml:space="preserve">, </w:t>
      </w:r>
      <w:r>
        <w:rPr>
          <w:b w:val="0"/>
          <w:i w:val="0"/>
          <w:smallCaps w:val="0"/>
          <w:strike w:val="0"/>
          <w:sz w:val="20"/>
          <w:u w:val="none"/>
        </w:rPr>
        <w:t>specialties include comparative &amp; international law and intellectual property</w:t>
      </w:r>
      <w:r>
        <w:rPr>
          <w:b w:val="0"/>
          <w:i w:val="0"/>
          <w:smallCaps w:val="0"/>
          <w:strike w:val="0"/>
          <w:sz w:val="20"/>
          <w:u w:val="none"/>
        </w:rPr>
        <w:t xml:space="preserve">; PrawfsBlawg, </w:t>
      </w:r>
      <w:r>
        <w:rPr>
          <w:b w:val="0"/>
          <w:i w:val="0"/>
          <w:smallCaps w:val="0"/>
          <w:strike w:val="0"/>
          <w:sz w:val="20"/>
          <w:u w:val="none"/>
        </w:rPr>
        <w:t>“Intellectual Property Conversations: International &amp; Domestic,” https://prawfsblawg.blogs.com/prawfsblawg/2015/04/intellectual-property-conversations-international-domestic-.html</w:t>
      </w:r>
      <w:r>
        <w:rPr>
          <w:b w:val="0"/>
          <w:i w:val="0"/>
          <w:smallCaps w:val="0"/>
          <w:strike w:val="0"/>
          <w:sz w:val="20"/>
          <w:u w:val="none"/>
        </w:rPr>
        <w:t>]</w:t>
      </w:r>
    </w:p>
    <w:p>
      <w:pPr>
        <w:spacing w:after="60"/>
      </w:pPr>
      <w:r>
        <w:rPr>
          <w:b w:val="0"/>
          <w:i w:val="0"/>
          <w:smallCaps w:val="0"/>
          <w:strike w:val="0"/>
          <w:sz w:val="16"/>
          <w:u w:val="none"/>
        </w:rPr>
        <w:t xml:space="preserve">I think it is fair to say that </w:t>
      </w:r>
      <w:r>
        <w:rPr>
          <w:b/>
          <w:i w:val="0"/>
          <w:smallCaps w:val="0"/>
          <w:strike w:val="0"/>
          <w:sz w:val="24"/>
          <w:u w:val="single"/>
        </w:rPr>
        <w:t>international</w:t>
      </w:r>
      <w:r>
        <w:rPr>
          <w:b/>
          <w:i w:val="0"/>
          <w:smallCaps w:val="0"/>
          <w:strike w:val="0"/>
          <w:sz w:val="24"/>
          <w:u w:val="single"/>
        </w:rPr>
        <w:t xml:space="preserve"> intellectual property is </w:t>
      </w:r>
      <w:r>
        <w:rPr>
          <w:b/>
          <w:i w:val="0"/>
          <w:smallCaps w:val="0"/>
          <w:strike w:val="0"/>
          <w:sz w:val="24"/>
          <w:u w:val="single"/>
        </w:rPr>
        <w:t>generally seen</w:t>
      </w:r>
      <w:r>
        <w:rPr>
          <w:b/>
          <w:i w:val="0"/>
          <w:smallCaps w:val="0"/>
          <w:strike w:val="0"/>
          <w:sz w:val="24"/>
          <w:u w:val="single"/>
        </w:rPr>
        <w:t xml:space="preserve"> as </w:t>
      </w:r>
      <w:r>
        <w:rPr>
          <w:b/>
          <w:i w:val="0"/>
          <w:smallCaps w:val="0"/>
          <w:strike w:val="0"/>
          <w:sz w:val="24"/>
          <w:u w:val="single"/>
        </w:rPr>
        <w:t>distinct</w:t>
      </w:r>
      <w:r>
        <w:rPr>
          <w:b/>
          <w:i w:val="0"/>
          <w:smallCaps w:val="0"/>
          <w:strike w:val="0"/>
          <w:sz w:val="24"/>
          <w:u w:val="single"/>
        </w:rPr>
        <w:t xml:space="preserve"> from general (i.e. </w:t>
      </w:r>
      <w:r>
        <w:rPr>
          <w:b/>
          <w:i w:val="0"/>
          <w:smallCaps w:val="0"/>
          <w:strike w:val="0"/>
          <w:sz w:val="24"/>
          <w:u w:val="single"/>
        </w:rPr>
        <w:t>domestic</w:t>
      </w:r>
      <w:r>
        <w:rPr>
          <w:b/>
          <w:i w:val="0"/>
          <w:smallCaps w:val="0"/>
          <w:strike w:val="0"/>
          <w:sz w:val="24"/>
          <w:u w:val="single"/>
        </w:rPr>
        <w:t>) intellectual property</w:t>
      </w:r>
      <w:r>
        <w:rPr>
          <w:b w:val="0"/>
          <w:i w:val="0"/>
          <w:smallCaps w:val="0"/>
          <w:strike w:val="0"/>
          <w:sz w:val="16"/>
          <w:u w:val="none"/>
        </w:rPr>
        <w:t xml:space="preserve"> (IP), both in terms of scholarship and teaching. Thus, from what I gather, international intellectual property panels tend not to draw huge crowds during the annual IP </w:t>
      </w:r>
      <w:r>
        <w:rPr>
          <w:b w:val="0"/>
          <w:i w:val="0"/>
          <w:smallCaps w:val="0"/>
          <w:strike w:val="0"/>
          <w:sz w:val="16"/>
          <w:u w:val="none"/>
        </w:rPr>
        <w:t>scholars</w:t>
      </w:r>
      <w:r>
        <w:rPr>
          <w:b w:val="0"/>
          <w:i w:val="0"/>
          <w:smallCaps w:val="0"/>
          <w:strike w:val="0"/>
          <w:sz w:val="16"/>
          <w:u w:val="none"/>
        </w:rPr>
        <w:t xml:space="preserve"> meetings. However, I see a fair amount of overlap between general IP scholarship and the international IP issues that some of us tend to explore. Among others, I see </w:t>
      </w:r>
      <w:r>
        <w:rPr>
          <w:b w:val="0"/>
          <w:i w:val="0"/>
          <w:smallCaps w:val="0"/>
          <w:strike w:val="0"/>
          <w:sz w:val="16"/>
          <w:u w:val="none"/>
        </w:rPr>
        <w:t>overlap</w:t>
      </w:r>
      <w:r>
        <w:rPr>
          <w:b w:val="0"/>
          <w:i w:val="0"/>
          <w:smallCaps w:val="0"/>
          <w:strike w:val="0"/>
          <w:sz w:val="16"/>
          <w:u w:val="none"/>
        </w:rPr>
        <w:t xml:space="preserve"> when it comes to questions about the role of IP, the scope of IP rights, and whether the current international model and the mandated levels of intellectual property protection align with societal goals.</w:t>
      </w:r>
    </w:p>
    <w:p>
      <w:pPr>
        <w:spacing w:after="60"/>
      </w:pPr>
      <w:r>
        <w:rPr>
          <w:b/>
          <w:i w:val="0"/>
          <w:smallCaps w:val="0"/>
          <w:strike w:val="0"/>
          <w:sz w:val="24"/>
          <w:u w:val="single"/>
        </w:rPr>
        <w:t xml:space="preserve">Writing </w:t>
      </w:r>
      <w:r>
        <w:rPr>
          <w:b/>
          <w:i w:val="0"/>
          <w:smallCaps w:val="0"/>
          <w:strike w:val="0"/>
          <w:sz w:val="24"/>
          <w:u w:val="single"/>
        </w:rPr>
        <w:t>international</w:t>
      </w:r>
      <w:r>
        <w:rPr>
          <w:b/>
          <w:i w:val="0"/>
          <w:smallCaps w:val="0"/>
          <w:strike w:val="0"/>
          <w:sz w:val="24"/>
          <w:u w:val="single"/>
        </w:rPr>
        <w:t xml:space="preserve"> intellectual property scholarship requires an understanding of </w:t>
      </w:r>
      <w:r>
        <w:rPr>
          <w:b/>
          <w:i w:val="0"/>
          <w:smallCaps w:val="0"/>
          <w:strike w:val="0"/>
          <w:sz w:val="24"/>
          <w:u w:val="single"/>
        </w:rPr>
        <w:t>international law</w:t>
      </w:r>
      <w:r>
        <w:rPr>
          <w:b/>
          <w:i w:val="0"/>
          <w:smallCaps w:val="0"/>
          <w:strike w:val="0"/>
          <w:sz w:val="24"/>
          <w:u w:val="single"/>
        </w:rPr>
        <w:t xml:space="preserve">, and </w:t>
      </w:r>
      <w:r>
        <w:rPr>
          <w:b/>
          <w:i w:val="0"/>
          <w:smallCaps w:val="0"/>
          <w:strike w:val="0"/>
          <w:sz w:val="24"/>
          <w:u w:val="single"/>
        </w:rPr>
        <w:t xml:space="preserve">trade </w:t>
      </w:r>
      <w:r>
        <w:rPr>
          <w:b/>
          <w:i w:val="0"/>
          <w:smallCaps w:val="0"/>
          <w:strike w:val="0"/>
          <w:sz w:val="24"/>
          <w:u w:val="single"/>
        </w:rPr>
        <w:t>law</w:t>
      </w:r>
      <w:r>
        <w:rPr>
          <w:b w:val="0"/>
          <w:i w:val="0"/>
          <w:smallCaps w:val="0"/>
          <w:strike w:val="0"/>
          <w:sz w:val="16"/>
          <w:u w:val="none"/>
        </w:rPr>
        <w:t xml:space="preserve"> in particular</w:t>
      </w:r>
      <w:r>
        <w:rPr>
          <w:b w:val="0"/>
          <w:i w:val="0"/>
          <w:smallCaps w:val="0"/>
          <w:strike w:val="0"/>
          <w:sz w:val="16"/>
          <w:u w:val="none"/>
        </w:rPr>
        <w:t xml:space="preserve">. This is due to the merger between trade law and intellectual property law that came about </w:t>
      </w:r>
      <w:r>
        <w:rPr>
          <w:b w:val="0"/>
          <w:i w:val="0"/>
          <w:smallCaps w:val="0"/>
          <w:strike w:val="0"/>
          <w:sz w:val="16"/>
          <w:u w:val="none"/>
        </w:rPr>
        <w:t>as a result of</w:t>
      </w:r>
      <w:r>
        <w:rPr>
          <w:b w:val="0"/>
          <w:i w:val="0"/>
          <w:smallCaps w:val="0"/>
          <w:strike w:val="0"/>
          <w:sz w:val="16"/>
          <w:u w:val="none"/>
        </w:rPr>
        <w:t xml:space="preserve"> the World Trade Organization Agreement on Trade-Related Intellectual Property, commonly referred to as TRIPS. </w:t>
      </w:r>
      <w:r>
        <w:rPr>
          <w:b/>
          <w:i w:val="0"/>
          <w:smallCaps w:val="0"/>
          <w:strike w:val="0"/>
          <w:sz w:val="24"/>
          <w:u w:val="single"/>
        </w:rPr>
        <w:t>Post-</w:t>
      </w:r>
      <w:r>
        <w:rPr>
          <w:b/>
          <w:i w:val="0"/>
          <w:smallCaps w:val="0"/>
          <w:strike w:val="0"/>
          <w:sz w:val="24"/>
          <w:u w:val="single"/>
        </w:rPr>
        <w:t>TRIPS</w:t>
      </w:r>
      <w:r>
        <w:rPr>
          <w:b/>
          <w:i w:val="0"/>
          <w:smallCaps w:val="0"/>
          <w:strike w:val="0"/>
          <w:sz w:val="24"/>
          <w:u w:val="single"/>
        </w:rPr>
        <w:t xml:space="preserve">, there have been </w:t>
      </w:r>
      <w:r>
        <w:rPr>
          <w:b/>
          <w:i w:val="0"/>
          <w:smallCaps w:val="0"/>
          <w:strike w:val="0"/>
          <w:sz w:val="24"/>
          <w:u w:val="single"/>
        </w:rPr>
        <w:t>a number of</w:t>
      </w:r>
      <w:r>
        <w:rPr>
          <w:b/>
          <w:i w:val="0"/>
          <w:smallCaps w:val="0"/>
          <w:strike w:val="0"/>
          <w:sz w:val="24"/>
          <w:u w:val="single"/>
        </w:rPr>
        <w:t xml:space="preserve"> </w:t>
      </w:r>
      <w:r>
        <w:rPr>
          <w:b/>
          <w:i w:val="0"/>
          <w:smallCaps w:val="0"/>
          <w:strike w:val="0"/>
          <w:sz w:val="24"/>
          <w:u w:val="single"/>
        </w:rPr>
        <w:t>other “trade-related”</w:t>
      </w:r>
      <w:r>
        <w:rPr>
          <w:b/>
          <w:i w:val="0"/>
          <w:smallCaps w:val="0"/>
          <w:strike w:val="0"/>
          <w:sz w:val="24"/>
          <w:u w:val="single"/>
        </w:rPr>
        <w:t xml:space="preserve"> agreements that </w:t>
      </w:r>
      <w:r>
        <w:rPr>
          <w:b/>
          <w:i w:val="0"/>
          <w:smallCaps w:val="0"/>
          <w:strike w:val="0"/>
          <w:sz w:val="24"/>
          <w:u w:val="single"/>
        </w:rPr>
        <w:t>aim</w:t>
      </w:r>
      <w:r>
        <w:rPr>
          <w:b/>
          <w:i w:val="0"/>
          <w:smallCaps w:val="0"/>
          <w:strike w:val="0"/>
          <w:sz w:val="24"/>
          <w:u w:val="single"/>
        </w:rPr>
        <w:t xml:space="preserve"> to protect </w:t>
      </w:r>
      <w:r>
        <w:rPr>
          <w:b/>
          <w:i w:val="0"/>
          <w:smallCaps w:val="0"/>
          <w:strike w:val="0"/>
          <w:sz w:val="24"/>
          <w:u w:val="single"/>
        </w:rPr>
        <w:t>i</w:t>
      </w:r>
      <w:r>
        <w:rPr>
          <w:b/>
          <w:i w:val="0"/>
          <w:smallCaps w:val="0"/>
          <w:strike w:val="0"/>
          <w:sz w:val="24"/>
          <w:u w:val="single"/>
        </w:rPr>
        <w:t xml:space="preserve">ntellectual </w:t>
      </w:r>
      <w:r>
        <w:rPr>
          <w:b/>
          <w:i w:val="0"/>
          <w:smallCaps w:val="0"/>
          <w:strike w:val="0"/>
          <w:sz w:val="24"/>
          <w:u w:val="single"/>
        </w:rPr>
        <w:t>p</w:t>
      </w:r>
      <w:r>
        <w:rPr>
          <w:b/>
          <w:i w:val="0"/>
          <w:smallCaps w:val="0"/>
          <w:strike w:val="0"/>
          <w:sz w:val="24"/>
          <w:u w:val="single"/>
        </w:rPr>
        <w:t xml:space="preserve">roperty </w:t>
      </w:r>
      <w:r>
        <w:rPr>
          <w:b/>
          <w:i w:val="0"/>
          <w:smallCaps w:val="0"/>
          <w:strike w:val="0"/>
          <w:sz w:val="24"/>
          <w:u w:val="single"/>
        </w:rPr>
        <w:t>r</w:t>
      </w:r>
      <w:r>
        <w:rPr>
          <w:b/>
          <w:i w:val="0"/>
          <w:smallCaps w:val="0"/>
          <w:strike w:val="0"/>
          <w:sz w:val="24"/>
          <w:u w:val="single"/>
        </w:rPr>
        <w:t xml:space="preserve">ights in the </w:t>
      </w:r>
      <w:r>
        <w:rPr>
          <w:b/>
          <w:i w:val="0"/>
          <w:smallCaps w:val="0"/>
          <w:strike w:val="0"/>
          <w:sz w:val="24"/>
          <w:u w:val="single"/>
        </w:rPr>
        <w:t>global arena</w:t>
      </w:r>
      <w:r>
        <w:rPr>
          <w:b w:val="0"/>
          <w:i w:val="0"/>
          <w:smallCaps w:val="0"/>
          <w:strike w:val="0"/>
          <w:sz w:val="16"/>
          <w:u w:val="none"/>
        </w:rPr>
        <w:t xml:space="preserve">. </w:t>
      </w:r>
      <w:r>
        <w:rPr>
          <w:b/>
          <w:i w:val="0"/>
          <w:smallCaps w:val="0"/>
          <w:strike w:val="0"/>
          <w:sz w:val="24"/>
          <w:u w:val="single"/>
        </w:rPr>
        <w:t xml:space="preserve">In addition to various </w:t>
      </w:r>
      <w:r>
        <w:rPr>
          <w:b/>
          <w:i w:val="0"/>
          <w:smallCaps w:val="0"/>
          <w:strike w:val="0"/>
          <w:sz w:val="24"/>
          <w:u w:val="single"/>
        </w:rPr>
        <w:t>bilateral trade agreements</w:t>
      </w:r>
      <w:r>
        <w:rPr>
          <w:b/>
          <w:i w:val="0"/>
          <w:smallCaps w:val="0"/>
          <w:strike w:val="0"/>
          <w:sz w:val="24"/>
          <w:u w:val="single"/>
        </w:rPr>
        <w:t xml:space="preserve"> and </w:t>
      </w:r>
      <w:r>
        <w:rPr>
          <w:b/>
          <w:i w:val="0"/>
          <w:smallCaps w:val="0"/>
          <w:strike w:val="0"/>
          <w:sz w:val="24"/>
          <w:u w:val="single"/>
        </w:rPr>
        <w:t>investment treaties</w:t>
      </w:r>
      <w:r>
        <w:rPr>
          <w:b/>
          <w:i w:val="0"/>
          <w:smallCaps w:val="0"/>
          <w:strike w:val="0"/>
          <w:sz w:val="24"/>
          <w:u w:val="single"/>
        </w:rPr>
        <w:t xml:space="preserve">, there are </w:t>
      </w:r>
      <w:r>
        <w:rPr>
          <w:b/>
          <w:i w:val="0"/>
          <w:smallCaps w:val="0"/>
          <w:strike w:val="0"/>
          <w:sz w:val="24"/>
          <w:u w:val="single"/>
        </w:rPr>
        <w:t>multilateral agreements</w:t>
      </w:r>
      <w:r>
        <w:rPr>
          <w:b/>
          <w:i w:val="0"/>
          <w:smallCaps w:val="0"/>
          <w:strike w:val="0"/>
          <w:sz w:val="24"/>
          <w:u w:val="single"/>
        </w:rPr>
        <w:t xml:space="preserve"> that have chapters or provisions on intellectual property. These include the </w:t>
      </w:r>
      <w:r>
        <w:rPr>
          <w:b/>
          <w:i w:val="0"/>
          <w:smallCaps w:val="0"/>
          <w:strike w:val="0"/>
          <w:sz w:val="24"/>
          <w:u w:val="single"/>
        </w:rPr>
        <w:t>Anti-counterfeiting Trade Agreement</w:t>
      </w:r>
      <w:r>
        <w:rPr>
          <w:b/>
          <w:i w:val="0"/>
          <w:smallCaps w:val="0"/>
          <w:strike w:val="0"/>
          <w:sz w:val="24"/>
          <w:u w:val="single"/>
        </w:rPr>
        <w:t xml:space="preserve">, the </w:t>
      </w:r>
      <w:r>
        <w:rPr>
          <w:b/>
          <w:i w:val="0"/>
          <w:smallCaps w:val="0"/>
          <w:strike w:val="0"/>
          <w:sz w:val="24"/>
          <w:u w:val="single"/>
        </w:rPr>
        <w:t>Trans-Pacific Partnership</w:t>
      </w:r>
      <w:r>
        <w:rPr>
          <w:b/>
          <w:i w:val="0"/>
          <w:smallCaps w:val="0"/>
          <w:strike w:val="0"/>
          <w:sz w:val="24"/>
          <w:u w:val="single"/>
        </w:rPr>
        <w:t xml:space="preserve">, and the </w:t>
      </w:r>
      <w:r>
        <w:rPr>
          <w:b/>
          <w:i w:val="0"/>
          <w:smallCaps w:val="0"/>
          <w:strike w:val="0"/>
          <w:sz w:val="24"/>
          <w:u w:val="single"/>
        </w:rPr>
        <w:t>Trans-Atlantic Trade and Investment Partnership</w:t>
      </w:r>
      <w:r>
        <w:rPr>
          <w:b w:val="0"/>
          <w:i w:val="0"/>
          <w:smallCaps w:val="0"/>
          <w:strike w:val="0"/>
          <w:sz w:val="16"/>
          <w:u w:val="none"/>
        </w:rPr>
        <w:t xml:space="preserve">.  The two latter agreements are currently being negotiated.  </w:t>
      </w:r>
    </w:p>
    <w:p>
      <w:pPr>
        <w:spacing w:after="60"/>
      </w:pPr>
      <w:r>
        <w:rPr>
          <w:b/>
          <w:i w:val="0"/>
          <w:smallCaps w:val="0"/>
          <w:strike w:val="0"/>
          <w:sz w:val="20"/>
          <w:u w:val="none"/>
        </w:rPr>
        <w:t xml:space="preserve">Just having </w:t>
      </w:r>
      <w:r>
        <w:rPr>
          <w:b/>
          <w:i w:val="0"/>
          <w:smallCaps w:val="0"/>
          <w:strike w:val="0"/>
          <w:sz w:val="20"/>
          <w:u w:val="single"/>
        </w:rPr>
        <w:t>some</w:t>
      </w:r>
      <w:r>
        <w:rPr>
          <w:b/>
          <w:i w:val="0"/>
          <w:smallCaps w:val="0"/>
          <w:strike w:val="0"/>
          <w:sz w:val="20"/>
          <w:u w:val="none"/>
        </w:rPr>
        <w:t xml:space="preserve"> domestic activity doesn’t make the plan domestic – that broad interpretation means anything </w:t>
      </w:r>
      <w:r>
        <w:rPr>
          <w:b/>
          <w:i w:val="0"/>
          <w:smallCaps w:val="0"/>
          <w:strike w:val="0"/>
          <w:sz w:val="20"/>
          <w:u w:val="none"/>
        </w:rPr>
        <w:t xml:space="preserve">has an </w:t>
      </w:r>
      <w:r>
        <w:rPr>
          <w:b/>
          <w:i w:val="0"/>
          <w:smallCaps w:val="0"/>
          <w:strike w:val="0"/>
          <w:sz w:val="20"/>
          <w:u w:val="single"/>
        </w:rPr>
        <w:t>effect</w:t>
      </w:r>
      <w:r>
        <w:rPr>
          <w:b/>
          <w:i w:val="0"/>
          <w:smallCaps w:val="0"/>
          <w:strike w:val="0"/>
          <w:sz w:val="20"/>
          <w:u w:val="none"/>
        </w:rPr>
        <w:t xml:space="preserve"> on</w:t>
      </w:r>
      <w:r>
        <w:rPr>
          <w:b/>
          <w:i w:val="0"/>
          <w:smallCaps w:val="0"/>
          <w:strike w:val="0"/>
          <w:sz w:val="20"/>
          <w:u w:val="none"/>
        </w:rPr>
        <w:t xml:space="preserve"> domestic commerce would be topical</w:t>
      </w:r>
    </w:p>
    <w:p>
      <w:pPr>
        <w:spacing w:after="60"/>
      </w:pPr>
      <w:r>
        <w:rPr>
          <w:b/>
          <w:i w:val="0"/>
          <w:smallCaps w:val="0"/>
          <w:strike w:val="0"/>
          <w:sz w:val="26"/>
          <w:u w:val="none"/>
        </w:rPr>
        <w:t>Alito ’23</w:t>
      </w:r>
      <w:r>
        <w:rPr>
          <w:b w:val="0"/>
          <w:i w:val="0"/>
          <w:smallCaps w:val="0"/>
          <w:strike w:val="0"/>
          <w:sz w:val="20"/>
          <w:u w:val="none"/>
        </w:rPr>
        <w:t xml:space="preserve"> [Samuel; June 29; </w:t>
      </w:r>
      <w:r>
        <w:rPr>
          <w:b w:val="0"/>
          <w:i w:val="0"/>
          <w:smallCaps w:val="0"/>
          <w:strike w:val="0"/>
          <w:sz w:val="20"/>
          <w:u w:val="none"/>
        </w:rPr>
        <w:t>justice of the US Supreme Court, writing the majority opinion in a 9-0 decision</w:t>
      </w:r>
      <w:r>
        <w:rPr>
          <w:b w:val="0"/>
          <w:i w:val="0"/>
          <w:smallCaps w:val="0"/>
          <w:strike w:val="0"/>
          <w:sz w:val="20"/>
          <w:u w:val="none"/>
        </w:rPr>
        <w:t xml:space="preserve">; </w:t>
      </w:r>
      <w:r>
        <w:rPr>
          <w:b w:val="0"/>
          <w:i w:val="0"/>
          <w:smallCaps w:val="0"/>
          <w:strike w:val="0"/>
          <w:sz w:val="20"/>
          <w:u w:val="none"/>
        </w:rPr>
        <w:t>A</w:t>
      </w:r>
      <w:r>
        <w:rPr>
          <w:b w:val="0"/>
          <w:i w:val="0"/>
          <w:smallCaps w:val="0"/>
          <w:strike w:val="0"/>
          <w:sz w:val="20"/>
          <w:u w:val="none"/>
        </w:rPr>
        <w:t>bitron</w:t>
      </w:r>
      <w:r>
        <w:rPr>
          <w:b w:val="0"/>
          <w:i w:val="0"/>
          <w:smallCaps w:val="0"/>
          <w:strike w:val="0"/>
          <w:sz w:val="20"/>
          <w:u w:val="none"/>
        </w:rPr>
        <w:t xml:space="preserve"> </w:t>
      </w:r>
      <w:r>
        <w:rPr>
          <w:b w:val="0"/>
          <w:i w:val="0"/>
          <w:smallCaps w:val="0"/>
          <w:strike w:val="0"/>
          <w:sz w:val="20"/>
          <w:u w:val="none"/>
        </w:rPr>
        <w:t>A</w:t>
      </w:r>
      <w:r>
        <w:rPr>
          <w:b w:val="0"/>
          <w:i w:val="0"/>
          <w:smallCaps w:val="0"/>
          <w:strike w:val="0"/>
          <w:sz w:val="20"/>
          <w:u w:val="none"/>
        </w:rPr>
        <w:t xml:space="preserve">ustria GMBH et al. v. </w:t>
      </w:r>
      <w:r>
        <w:rPr>
          <w:b w:val="0"/>
          <w:i w:val="0"/>
          <w:smallCaps w:val="0"/>
          <w:strike w:val="0"/>
          <w:sz w:val="20"/>
          <w:u w:val="none"/>
        </w:rPr>
        <w:t>Hetronic</w:t>
      </w:r>
      <w:r>
        <w:rPr>
          <w:b w:val="0"/>
          <w:i w:val="0"/>
          <w:smallCaps w:val="0"/>
          <w:strike w:val="0"/>
          <w:sz w:val="20"/>
          <w:u w:val="none"/>
        </w:rPr>
        <w:t xml:space="preserve"> International, Inc.</w:t>
      </w:r>
      <w:r>
        <w:rPr>
          <w:b w:val="0"/>
          <w:i w:val="0"/>
          <w:smallCaps w:val="0"/>
          <w:strike w:val="0"/>
          <w:sz w:val="20"/>
          <w:u w:val="none"/>
        </w:rPr>
        <w:t xml:space="preserve">, </w:t>
      </w:r>
      <w:r>
        <w:rPr>
          <w:b w:val="0"/>
          <w:i w:val="0"/>
          <w:smallCaps w:val="0"/>
          <w:strike w:val="0"/>
          <w:sz w:val="20"/>
          <w:u w:val="none"/>
        </w:rPr>
        <w:t>https://www.supremecourt.gov/opinions/22pdf/21-1043_7648.pdf</w:t>
      </w:r>
      <w:r>
        <w:rPr>
          <w:b w:val="0"/>
          <w:i w:val="0"/>
          <w:smallCaps w:val="0"/>
          <w:strike w:val="0"/>
          <w:sz w:val="20"/>
          <w:u w:val="none"/>
        </w:rPr>
        <w:t>]</w:t>
      </w:r>
    </w:p>
    <w:p>
      <w:pPr>
        <w:spacing w:after="60"/>
      </w:pPr>
      <w:r>
        <w:rPr>
          <w:b/>
          <w:i w:val="0"/>
          <w:smallCaps w:val="0"/>
          <w:strike w:val="0"/>
          <w:sz w:val="20"/>
          <w:u w:val="none"/>
        </w:rPr>
        <w:t>italics in original</w:t>
      </w:r>
    </w:p>
    <w:p>
      <w:pPr>
        <w:spacing w:after="60"/>
      </w:pPr>
      <w:r>
        <w:rPr>
          <w:b w:val="0"/>
          <w:i w:val="0"/>
          <w:smallCaps w:val="0"/>
          <w:strike w:val="0"/>
          <w:sz w:val="16"/>
          <w:u w:val="none"/>
        </w:rPr>
        <w:t xml:space="preserve">JUSTICE </w:t>
      </w:r>
      <w:r>
        <w:rPr>
          <w:b w:val="0"/>
          <w:i w:val="0"/>
          <w:smallCaps w:val="0"/>
          <w:strike w:val="0"/>
          <w:sz w:val="20"/>
          <w:u w:val="single"/>
        </w:rPr>
        <w:t>SOTOMAYOR’s</w:t>
      </w:r>
      <w:r>
        <w:rPr>
          <w:b w:val="0"/>
          <w:i w:val="0"/>
          <w:smallCaps w:val="0"/>
          <w:strike w:val="0"/>
          <w:sz w:val="16"/>
          <w:u w:val="none"/>
        </w:rPr>
        <w:t xml:space="preserve"> </w:t>
      </w:r>
      <w:r>
        <w:rPr>
          <w:b w:val="0"/>
          <w:i w:val="0"/>
          <w:smallCaps w:val="0"/>
          <w:strike w:val="0"/>
          <w:sz w:val="20"/>
          <w:u w:val="single"/>
        </w:rPr>
        <w:t>expansive understanding of the Lanham Act’s domestic applications threatens to negate the presumption against extraterritoriality</w:t>
      </w:r>
      <w:r>
        <w:rPr>
          <w:b w:val="0"/>
          <w:i w:val="0"/>
          <w:smallCaps w:val="0"/>
          <w:strike w:val="0"/>
          <w:sz w:val="16"/>
          <w:u w:val="none"/>
        </w:rPr>
        <w:t xml:space="preserve">.  </w:t>
      </w:r>
      <w:r>
        <w:rPr>
          <w:b w:val="0"/>
          <w:i w:val="0"/>
          <w:smallCaps w:val="0"/>
          <w:strike w:val="0"/>
          <w:sz w:val="20"/>
          <w:u w:val="single"/>
        </w:rPr>
        <w:t>In Morrison, we warned that “</w:t>
      </w:r>
      <w:r>
        <w:rPr>
          <w:b w:val="0"/>
          <w:i w:val="0"/>
          <w:smallCaps w:val="0"/>
          <w:strike w:val="0"/>
          <w:sz w:val="20"/>
          <w:highlight w:val="cyan"/>
          <w:u w:val="single"/>
        </w:rPr>
        <w:t>the presumption against extraterritorial application would be a craven watchdog</w:t>
      </w:r>
      <w:r>
        <w:rPr>
          <w:b w:val="0"/>
          <w:i w:val="0"/>
          <w:smallCaps w:val="0"/>
          <w:strike w:val="0"/>
          <w:sz w:val="20"/>
          <w:u w:val="single"/>
        </w:rPr>
        <w:t xml:space="preserve"> </w:t>
      </w:r>
      <w:r>
        <w:rPr>
          <w:b w:val="0"/>
          <w:i w:val="0"/>
          <w:smallCaps w:val="0"/>
          <w:strike w:val="0"/>
          <w:sz w:val="16"/>
          <w:u w:val="none"/>
        </w:rPr>
        <w:t xml:space="preserve">indeed </w:t>
      </w:r>
      <w:r>
        <w:rPr>
          <w:b w:val="0"/>
          <w:i w:val="0"/>
          <w:smallCaps w:val="0"/>
          <w:strike w:val="0"/>
          <w:sz w:val="20"/>
          <w:highlight w:val="cyan"/>
          <w:u w:val="single"/>
        </w:rPr>
        <w:t xml:space="preserve">if it retreated to its kennel whenever </w:t>
      </w:r>
      <w:r>
        <w:rPr>
          <w:b w:val="0"/>
          <w:i/>
          <w:smallCaps w:val="0"/>
          <w:strike w:val="0"/>
          <w:sz w:val="20"/>
          <w:highlight w:val="cyan"/>
          <w:u w:val="single"/>
        </w:rPr>
        <w:t>some</w:t>
      </w:r>
      <w:r>
        <w:rPr>
          <w:b w:val="0"/>
          <w:i w:val="0"/>
          <w:smallCaps w:val="0"/>
          <w:strike w:val="0"/>
          <w:sz w:val="20"/>
          <w:highlight w:val="cyan"/>
          <w:u w:val="single"/>
        </w:rPr>
        <w:t xml:space="preserve"> domestic activity is involved in the case</w:t>
      </w:r>
      <w:r>
        <w:rPr>
          <w:b w:val="0"/>
          <w:i w:val="0"/>
          <w:smallCaps w:val="0"/>
          <w:strike w:val="0"/>
          <w:sz w:val="16"/>
          <w:u w:val="none"/>
        </w:rPr>
        <w:t xml:space="preserve">.” 561 U. S., at 266.  </w:t>
      </w:r>
      <w:r>
        <w:rPr>
          <w:b w:val="0"/>
          <w:i w:val="0"/>
          <w:smallCaps w:val="0"/>
          <w:strike w:val="0"/>
          <w:sz w:val="20"/>
          <w:highlight w:val="cyan"/>
          <w:u w:val="single"/>
        </w:rPr>
        <w:t>If a claim under the Act involves a domestic application whenever particular “‘effects are likely to occur in 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16"/>
          <w:u w:val="none"/>
        </w:rPr>
        <w:t xml:space="preserve">,’” post, at 5–6, </w:t>
      </w:r>
      <w:r>
        <w:rPr>
          <w:b w:val="0"/>
          <w:i w:val="0"/>
          <w:smallCaps w:val="0"/>
          <w:strike w:val="0"/>
          <w:sz w:val="20"/>
          <w:highlight w:val="cyan"/>
          <w:u w:val="single"/>
        </w:rPr>
        <w:t>the watchdog is</w:t>
      </w:r>
      <w:r>
        <w:rPr>
          <w:b w:val="0"/>
          <w:i w:val="0"/>
          <w:smallCaps w:val="0"/>
          <w:strike w:val="0"/>
          <w:sz w:val="16"/>
          <w:u w:val="none"/>
        </w:rPr>
        <w:t xml:space="preserve"> nothing more than </w:t>
      </w:r>
      <w:r>
        <w:rPr>
          <w:b/>
          <w:i w:val="0"/>
          <w:smallCaps w:val="0"/>
          <w:strike w:val="0"/>
          <w:sz w:val="20"/>
          <w:highlight w:val="cyan"/>
          <w:u w:val="single"/>
        </w:rPr>
        <w:t>a muzzled Chihuahua.</w:t>
      </w:r>
      <w:r>
        <w:rPr>
          <w:b w:val="0"/>
          <w:i w:val="0"/>
          <w:smallCaps w:val="0"/>
          <w:strike w:val="0"/>
          <w:sz w:val="16"/>
          <w:u w:val="none"/>
        </w:rPr>
        <w:t xml:space="preserve">  </w:t>
      </w:r>
      <w:r>
        <w:rPr>
          <w:b w:val="0"/>
          <w:i w:val="0"/>
          <w:smallCaps w:val="0"/>
          <w:strike w:val="0"/>
          <w:sz w:val="20"/>
          <w:highlight w:val="cyan"/>
          <w:u w:val="single"/>
        </w:rPr>
        <w:t>Under such a test</w:t>
      </w:r>
      <w:r>
        <w:rPr>
          <w:b w:val="0"/>
          <w:i w:val="0"/>
          <w:smallCaps w:val="0"/>
          <w:strike w:val="0"/>
          <w:sz w:val="16"/>
          <w:u w:val="none"/>
        </w:rPr>
        <w:t xml:space="preserve">, it would not even be necessary that “some” domestic activity be involved.  </w:t>
      </w:r>
      <w:r>
        <w:rPr>
          <w:b w:val="0"/>
          <w:i w:val="0"/>
          <w:smallCaps w:val="0"/>
          <w:strike w:val="0"/>
          <w:sz w:val="20"/>
          <w:highlight w:val="cyan"/>
          <w:u w:val="single"/>
        </w:rPr>
        <w:t xml:space="preserve">It would be enough for there to be merely a </w:t>
      </w:r>
      <w:r>
        <w:rPr>
          <w:b w:val="0"/>
          <w:i/>
          <w:smallCaps w:val="0"/>
          <w:strike w:val="0"/>
          <w:sz w:val="20"/>
          <w:highlight w:val="cyan"/>
          <w:u w:val="single"/>
        </w:rPr>
        <w:t>likelihood</w:t>
      </w:r>
      <w:r>
        <w:rPr>
          <w:b w:val="0"/>
          <w:i w:val="0"/>
          <w:smallCaps w:val="0"/>
          <w:strike w:val="0"/>
          <w:sz w:val="20"/>
          <w:highlight w:val="cyan"/>
          <w:u w:val="single"/>
        </w:rPr>
        <w:t xml:space="preserve"> of an </w:t>
      </w:r>
      <w:r>
        <w:rPr>
          <w:b w:val="0"/>
          <w:i/>
          <w:smallCaps w:val="0"/>
          <w:strike w:val="0"/>
          <w:sz w:val="20"/>
          <w:highlight w:val="cyan"/>
          <w:u w:val="single"/>
        </w:rPr>
        <w:t>effect</w:t>
      </w:r>
      <w:r>
        <w:rPr>
          <w:b w:val="0"/>
          <w:i w:val="0"/>
          <w:smallCaps w:val="0"/>
          <w:strike w:val="0"/>
          <w:sz w:val="20"/>
          <w:highlight w:val="cyan"/>
          <w:u w:val="single"/>
        </w:rPr>
        <w:t xml:space="preserve"> in this country</w:t>
      </w:r>
      <w:r>
        <w:rPr>
          <w:b w:val="0"/>
          <w:i w:val="0"/>
          <w:smallCaps w:val="0"/>
          <w:strike w:val="0"/>
          <w:sz w:val="20"/>
          <w:u w:val="single"/>
        </w:rPr>
        <w:t>.</w:t>
      </w:r>
      <w:r>
        <w:rPr>
          <w:b w:val="0"/>
          <w:i w:val="0"/>
          <w:smallCaps w:val="0"/>
          <w:strike w:val="0"/>
          <w:sz w:val="16"/>
          <w:u w:val="none"/>
        </w:rPr>
        <w:t xml:space="preserve"> Applying that standard here would require even less connection to the United States than some explicitly extraterritorial statutes, which must have, at a minimum, actual domestic effects to be invoked. See, e.g., Hartford Fire Ins. Co. v. California, 509 U. S. 764, 796 (1993) (holding that the extraterritorial provision at issue “applies to foreign conduct that was meant to produce and did in fact produce some substantial effect in the United States”).</w:t>
      </w:r>
    </w:p>
    <w:p>
      <w:pPr>
        <w:spacing w:after="60"/>
      </w:pPr>
      <w:r>
        <w:rPr>
          <w:b w:val="0"/>
          <w:i w:val="0"/>
          <w:smallCaps w:val="0"/>
          <w:strike w:val="0"/>
          <w:sz w:val="16"/>
          <w:u w:val="none"/>
        </w:rPr>
        <w:t xml:space="preserve">This approach threatens “‘international discord.’”  </w:t>
      </w:r>
      <w:r>
        <w:rPr>
          <w:b w:val="0"/>
          <w:i w:val="0"/>
          <w:smallCaps w:val="0"/>
          <w:strike w:val="0"/>
          <w:sz w:val="16"/>
          <w:u w:val="none"/>
        </w:rPr>
        <w:t>Kiobel</w:t>
      </w:r>
      <w:r>
        <w:rPr>
          <w:b w:val="0"/>
          <w:i w:val="0"/>
          <w:smallCaps w:val="0"/>
          <w:strike w:val="0"/>
          <w:sz w:val="16"/>
          <w:u w:val="none"/>
        </w:rPr>
        <w:t xml:space="preserve">, 569 U. S., at 115. </w:t>
      </w:r>
      <w:r>
        <w:rPr>
          <w:b w:val="0"/>
          <w:i w:val="0"/>
          <w:smallCaps w:val="0"/>
          <w:strike w:val="0"/>
          <w:sz w:val="20"/>
          <w:u w:val="single"/>
        </w:rPr>
        <w:t xml:space="preserve">In nearly all countries, including the United States, </w:t>
      </w:r>
      <w:r>
        <w:rPr>
          <w:b/>
          <w:i w:val="0"/>
          <w:smallCaps w:val="0"/>
          <w:strike w:val="0"/>
          <w:sz w:val="20"/>
          <w:u w:val="single"/>
        </w:rPr>
        <w:t>trademark law is territorial</w:t>
      </w:r>
      <w:r>
        <w:rPr>
          <w:b w:val="0"/>
          <w:i w:val="0"/>
          <w:smallCaps w:val="0"/>
          <w:strike w:val="0"/>
          <w:sz w:val="16"/>
          <w:u w:val="none"/>
        </w:rPr>
        <w:t xml:space="preserve">—i.e., </w:t>
      </w:r>
      <w:r>
        <w:rPr>
          <w:b w:val="0"/>
          <w:i w:val="0"/>
          <w:smallCaps w:val="0"/>
          <w:strike w:val="0"/>
          <w:sz w:val="20"/>
          <w:u w:val="single"/>
        </w:rPr>
        <w:t>“a trademark is recognized as having a separate existence in each sovereign territory in which it is registered</w:t>
      </w:r>
      <w:r>
        <w:rPr>
          <w:b w:val="0"/>
          <w:i w:val="0"/>
          <w:smallCaps w:val="0"/>
          <w:strike w:val="0"/>
          <w:sz w:val="16"/>
          <w:u w:val="none"/>
        </w:rPr>
        <w:t xml:space="preserve"> or legally recognized as a mark.”  5 McCarthy §29:1, at 29–4 to 29–5.  Thus, each country is empowered to grant trademark rights and police infringement within its borders.  See, e.g., ibid.; </w:t>
      </w:r>
      <w:r>
        <w:rPr>
          <w:b w:val="0"/>
          <w:i w:val="0"/>
          <w:smallCaps w:val="0"/>
          <w:strike w:val="0"/>
          <w:sz w:val="16"/>
          <w:u w:val="none"/>
        </w:rPr>
        <w:t>Ingenohl</w:t>
      </w:r>
      <w:r>
        <w:rPr>
          <w:b w:val="0"/>
          <w:i w:val="0"/>
          <w:smallCaps w:val="0"/>
          <w:strike w:val="0"/>
          <w:sz w:val="16"/>
          <w:u w:val="none"/>
        </w:rPr>
        <w:t xml:space="preserve"> v. Olsen &amp; Co., 273 U. S. 541, 544 (1927); A. Bourjois &amp; Co. v. Katzel, 260 U. S. 689, 692 (1923). </w:t>
      </w:r>
    </w:p>
    <w:p>
      <w:pPr>
        <w:spacing w:after="60"/>
      </w:pPr>
      <w:r>
        <w:rPr>
          <w:b/>
          <w:i w:val="0"/>
          <w:smallCaps w:val="0"/>
          <w:strike w:val="0"/>
          <w:sz w:val="20"/>
          <w:u w:val="none"/>
        </w:rPr>
        <w:t>The plan’s extraterritorial because it applies to e-commerce</w:t>
      </w:r>
    </w:p>
    <w:p>
      <w:pPr>
        <w:spacing w:after="60"/>
      </w:pPr>
      <w:r>
        <w:rPr>
          <w:b/>
          <w:i w:val="0"/>
          <w:smallCaps w:val="0"/>
          <w:strike w:val="0"/>
          <w:sz w:val="26"/>
          <w:u w:val="none"/>
        </w:rPr>
        <w:t>Kammel ’23</w:t>
      </w:r>
      <w:r>
        <w:rPr>
          <w:b w:val="0"/>
          <w:i w:val="0"/>
          <w:smallCaps w:val="0"/>
          <w:strike w:val="0"/>
          <w:sz w:val="20"/>
          <w:u w:val="none"/>
        </w:rPr>
        <w:t xml:space="preserve"> [Kari; 2023;</w:t>
      </w:r>
      <w:r>
        <w:rPr>
          <w:b w:val="0"/>
          <w:i w:val="0"/>
          <w:smallCaps w:val="0"/>
          <w:strike w:val="0"/>
          <w:sz w:val="20"/>
          <w:u w:val="none"/>
        </w:rPr>
        <w:t xml:space="preserve"> Director of the Center for Anti-Counterfeiting and Product Protection at Michigan State University and an adjunct professor of law at MSU College of Law</w:t>
      </w:r>
      <w:r>
        <w:rPr>
          <w:b w:val="0"/>
          <w:i w:val="0"/>
          <w:smallCaps w:val="0"/>
          <w:strike w:val="0"/>
          <w:sz w:val="20"/>
          <w:u w:val="none"/>
        </w:rPr>
        <w:t xml:space="preserve">; </w:t>
      </w:r>
      <w:r>
        <w:rPr>
          <w:b w:val="0"/>
          <w:i w:val="0"/>
          <w:smallCaps w:val="0"/>
          <w:strike w:val="0"/>
          <w:sz w:val="20"/>
          <w:u w:val="none"/>
        </w:rPr>
        <w:t xml:space="preserve">“Trademark Counterfeiting Enforcement Beyond Borders: The Complexities of Enforcing Trademark Rights Extraterritorially in a Global Marketplace with Territorial-Based Enforcement,” 33 Fordham </w:t>
      </w:r>
      <w:r>
        <w:rPr>
          <w:b w:val="0"/>
          <w:i w:val="0"/>
          <w:smallCaps w:val="0"/>
          <w:strike w:val="0"/>
          <w:sz w:val="20"/>
          <w:u w:val="none"/>
        </w:rPr>
        <w:t>Intell</w:t>
      </w:r>
      <w:r>
        <w:rPr>
          <w:b w:val="0"/>
          <w:i w:val="0"/>
          <w:smallCaps w:val="0"/>
          <w:strike w:val="0"/>
          <w:sz w:val="20"/>
          <w:u w:val="none"/>
        </w:rPr>
        <w:t>. Prop. Media &amp; Ent. L.J. 595</w:t>
      </w:r>
      <w:r>
        <w:rPr>
          <w:b w:val="0"/>
          <w:i w:val="0"/>
          <w:smallCaps w:val="0"/>
          <w:strike w:val="0"/>
          <w:sz w:val="20"/>
          <w:u w:val="none"/>
        </w:rPr>
        <w:t>]</w:t>
      </w:r>
    </w:p>
    <w:p>
      <w:pPr>
        <w:spacing w:after="60"/>
      </w:pPr>
      <w:r>
        <w:rPr>
          <w:b w:val="0"/>
          <w:i w:val="0"/>
          <w:smallCaps w:val="0"/>
          <w:strike w:val="0"/>
          <w:sz w:val="20"/>
          <w:highlight w:val="cyan"/>
          <w:u w:val="single"/>
        </w:rPr>
        <w:t>Despite the seemingly territorial nature of trademarks, the sale of trademarked goods on e-commerce</w:t>
      </w:r>
      <w:r>
        <w:rPr>
          <w:b w:val="0"/>
          <w:i w:val="0"/>
          <w:smallCaps w:val="0"/>
          <w:strike w:val="0"/>
          <w:sz w:val="20"/>
          <w:u w:val="single"/>
        </w:rPr>
        <w:t xml:space="preserve"> and social media </w:t>
      </w:r>
      <w:r>
        <w:rPr>
          <w:b w:val="0"/>
          <w:i w:val="0"/>
          <w:smallCaps w:val="0"/>
          <w:strike w:val="0"/>
          <w:sz w:val="20"/>
          <w:highlight w:val="cyan"/>
          <w:u w:val="single"/>
        </w:rPr>
        <w:t xml:space="preserve">have exponentially increased the </w:t>
      </w:r>
      <w:r>
        <w:rPr>
          <w:b w:val="0"/>
          <w:i w:val="0"/>
          <w:smallCaps w:val="0"/>
          <w:strike w:val="0"/>
          <w:sz w:val="20"/>
          <w:highlight w:val="cyan"/>
          <w:u w:val="single"/>
        </w:rPr>
        <w:t>amount</w:t>
      </w:r>
      <w:r>
        <w:rPr>
          <w:b w:val="0"/>
          <w:i w:val="0"/>
          <w:smallCaps w:val="0"/>
          <w:strike w:val="0"/>
          <w:sz w:val="20"/>
          <w:highlight w:val="cyan"/>
          <w:u w:val="single"/>
        </w:rPr>
        <w:t xml:space="preserve"> of </w:t>
      </w:r>
      <w:r>
        <w:rPr>
          <w:b/>
          <w:i w:val="0"/>
          <w:smallCaps w:val="0"/>
          <w:strike w:val="0"/>
          <w:sz w:val="20"/>
          <w:highlight w:val="cyan"/>
          <w:u w:val="single"/>
        </w:rPr>
        <w:t>cross-border</w:t>
      </w:r>
      <w:r>
        <w:rPr>
          <w:b w:val="0"/>
          <w:i w:val="0"/>
          <w:smallCaps w:val="0"/>
          <w:strike w:val="0"/>
          <w:sz w:val="20"/>
          <w:highlight w:val="cyan"/>
          <w:u w:val="single"/>
        </w:rPr>
        <w:t xml:space="preserve"> transactions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therefore</w:t>
      </w:r>
      <w:r>
        <w:rPr>
          <w:b w:val="0"/>
          <w:i w:val="0"/>
          <w:smallCaps w:val="0"/>
          <w:strike w:val="0"/>
          <w:sz w:val="16"/>
          <w:u w:val="none"/>
        </w:rPr>
        <w:t xml:space="preserve"> also the amount of </w:t>
      </w:r>
      <w:r>
        <w:rPr>
          <w:b w:val="0"/>
          <w:i w:val="0"/>
          <w:smallCaps w:val="0"/>
          <w:strike w:val="0"/>
          <w:sz w:val="20"/>
          <w:highlight w:val="cyan"/>
          <w:u w:val="single"/>
        </w:rPr>
        <w:t>infringing goods sold online across multiple jurisdictions</w:t>
      </w:r>
      <w:r>
        <w:rPr>
          <w:b w:val="0"/>
          <w:i w:val="0"/>
          <w:smallCaps w:val="0"/>
          <w:strike w:val="0"/>
          <w:sz w:val="16"/>
          <w:u w:val="none"/>
        </w:rPr>
        <w:t xml:space="preserve">. Because infringers can reach potential consumers of goods and services anywhere in the world, </w:t>
      </w:r>
      <w:r>
        <w:rPr>
          <w:b w:val="0"/>
          <w:i w:val="0"/>
          <w:smallCaps w:val="0"/>
          <w:strike w:val="0"/>
          <w:sz w:val="20"/>
          <w:u w:val="single"/>
        </w:rPr>
        <w:t>a tension now exists between the territorial nature of a trademark and the global nature of the potential consumer</w:t>
      </w:r>
      <w:r>
        <w:rPr>
          <w:b w:val="0"/>
          <w:i w:val="0"/>
          <w:smallCaps w:val="0"/>
          <w:strike w:val="0"/>
          <w:sz w:val="16"/>
          <w:u w:val="none"/>
        </w:rPr>
        <w:t xml:space="preserve">. </w:t>
      </w:r>
      <w:r>
        <w:rPr>
          <w:b w:val="0"/>
          <w:i w:val="0"/>
          <w:smallCaps w:val="0"/>
          <w:strike w:val="0"/>
          <w:sz w:val="20"/>
          <w:highlight w:val="cyan"/>
          <w:u w:val="single"/>
        </w:rPr>
        <w:t>The basis for extraterritorial reach is</w:t>
      </w:r>
      <w:r>
        <w:rPr>
          <w:b w:val="0"/>
          <w:i w:val="0"/>
          <w:smallCaps w:val="0"/>
          <w:strike w:val="0"/>
          <w:sz w:val="16"/>
          <w:u w:val="none"/>
        </w:rPr>
        <w:t xml:space="preserve"> mainly “</w:t>
      </w:r>
      <w:r>
        <w:rPr>
          <w:b w:val="0"/>
          <w:i w:val="0"/>
          <w:smallCaps w:val="0"/>
          <w:strike w:val="0"/>
          <w:sz w:val="20"/>
          <w:highlight w:val="cyan"/>
          <w:u w:val="single"/>
        </w:rPr>
        <w:t>to</w:t>
      </w:r>
      <w:r>
        <w:rPr>
          <w:b w:val="0"/>
          <w:i w:val="0"/>
          <w:smallCaps w:val="0"/>
          <w:strike w:val="0"/>
          <w:sz w:val="16"/>
          <w:u w:val="none"/>
        </w:rPr>
        <w:t xml:space="preserve"> either prevent spillovers from extraterritorial activities into the local market (inbound regulation) or to protect and </w:t>
      </w:r>
      <w:r>
        <w:rPr>
          <w:b w:val="0"/>
          <w:i w:val="0"/>
          <w:smallCaps w:val="0"/>
          <w:strike w:val="0"/>
          <w:sz w:val="20"/>
          <w:highlight w:val="cyan"/>
          <w:u w:val="single"/>
        </w:rPr>
        <w:t>enforce the interests of the rightsholders</w:t>
      </w:r>
      <w:r>
        <w:rPr>
          <w:b w:val="0"/>
          <w:i w:val="0"/>
          <w:smallCaps w:val="0"/>
          <w:strike w:val="0"/>
          <w:sz w:val="20"/>
          <w:u w:val="single"/>
        </w:rPr>
        <w:t xml:space="preserve"> </w:t>
      </w:r>
      <w:r>
        <w:rPr>
          <w:b w:val="0"/>
          <w:i w:val="0"/>
          <w:smallCaps w:val="0"/>
          <w:strike w:val="0"/>
          <w:sz w:val="16"/>
          <w:u w:val="none"/>
        </w:rPr>
        <w:t xml:space="preserve">also </w:t>
      </w:r>
      <w:r>
        <w:rPr>
          <w:b/>
          <w:i w:val="0"/>
          <w:smallCaps w:val="0"/>
          <w:strike w:val="0"/>
          <w:sz w:val="20"/>
          <w:highlight w:val="cyan"/>
          <w:u w:val="single"/>
        </w:rPr>
        <w:t>in other territories</w:t>
      </w:r>
      <w:r>
        <w:rPr>
          <w:b w:val="0"/>
          <w:i w:val="0"/>
          <w:smallCaps w:val="0"/>
          <w:strike w:val="0"/>
          <w:sz w:val="16"/>
          <w:u w:val="none"/>
        </w:rPr>
        <w:t xml:space="preserve"> </w:t>
      </w:r>
      <w:r>
        <w:rPr>
          <w:b w:val="0"/>
          <w:i w:val="0"/>
          <w:smallCaps w:val="0"/>
          <w:strike w:val="0"/>
          <w:sz w:val="20"/>
          <w:u w:val="single"/>
        </w:rPr>
        <w:t>by implementing the local IP regime</w:t>
      </w:r>
      <w:r>
        <w:rPr>
          <w:b w:val="0"/>
          <w:i w:val="0"/>
          <w:smallCaps w:val="0"/>
          <w:strike w:val="0"/>
          <w:sz w:val="16"/>
          <w:u w:val="none"/>
        </w:rPr>
        <w:t xml:space="preserve"> (outbound regulation).”19 </w:t>
      </w:r>
    </w:p>
    <w:p>
      <w:pPr>
        <w:spacing w:after="60"/>
      </w:pPr>
      <w:r>
        <w:rPr>
          <w:b/>
          <w:i w:val="0"/>
          <w:smallCaps w:val="0"/>
          <w:strike w:val="0"/>
          <w:sz w:val="20"/>
          <w:u w:val="none"/>
        </w:rPr>
        <w:t xml:space="preserve">Domestic means the plan can only apply to </w:t>
      </w:r>
      <w:r>
        <w:rPr>
          <w:b/>
          <w:i w:val="0"/>
          <w:smallCaps w:val="0"/>
          <w:strike w:val="0"/>
          <w:sz w:val="20"/>
          <w:u w:val="single"/>
        </w:rPr>
        <w:t>actual</w:t>
      </w:r>
      <w:r>
        <w:rPr>
          <w:b/>
          <w:i w:val="0"/>
          <w:smallCaps w:val="0"/>
          <w:strike w:val="0"/>
          <w:sz w:val="20"/>
          <w:u w:val="none"/>
        </w:rPr>
        <w:t xml:space="preserve"> harm in US commerce – a broader interpretation is unpredictable</w:t>
      </w:r>
    </w:p>
    <w:p>
      <w:pPr>
        <w:spacing w:after="60"/>
      </w:pPr>
      <w:r>
        <w:rPr>
          <w:b w:val="0"/>
          <w:i w:val="0"/>
          <w:smallCaps w:val="0"/>
          <w:strike w:val="0"/>
          <w:sz w:val="20"/>
          <w:u w:val="none"/>
        </w:rPr>
        <w:t xml:space="preserve">JEFFREY A. </w:t>
      </w:r>
      <w:r>
        <w:rPr>
          <w:b/>
          <w:i w:val="0"/>
          <w:smallCaps w:val="0"/>
          <w:strike w:val="0"/>
          <w:sz w:val="20"/>
          <w:u w:val="none"/>
        </w:rPr>
        <w:t>LAMKEN</w:t>
      </w:r>
      <w:r>
        <w:rPr>
          <w:b w:val="0"/>
          <w:i w:val="0"/>
          <w:smallCaps w:val="0"/>
          <w:strike w:val="0"/>
          <w:sz w:val="20"/>
          <w:u w:val="none"/>
        </w:rPr>
        <w:t>, 20</w:t>
      </w:r>
      <w:r>
        <w:rPr>
          <w:b/>
          <w:i w:val="0"/>
          <w:smallCaps w:val="0"/>
          <w:strike w:val="0"/>
          <w:sz w:val="20"/>
          <w:u w:val="none"/>
        </w:rPr>
        <w:t>22</w:t>
      </w:r>
      <w:r>
        <w:rPr>
          <w:b w:val="0"/>
          <w:i w:val="0"/>
          <w:smallCaps w:val="0"/>
          <w:strike w:val="0"/>
          <w:sz w:val="20"/>
          <w:u w:val="none"/>
        </w:rPr>
        <w:t xml:space="preserve"> – Counsel of Record for Arbitron. Brief for Petitioners in the case ABITRON AUSTRIA GMBH, ET AL.</w:t>
      </w:r>
      <w:r>
        <w:rPr>
          <w:b w:val="0"/>
          <w:i w:val="0"/>
          <w:smallCaps w:val="0"/>
          <w:strike w:val="0"/>
          <w:sz w:val="20"/>
          <w:u w:val="none"/>
        </w:rPr>
        <w:t>,  Petitioners</w:t>
      </w:r>
      <w:r>
        <w:rPr>
          <w:b w:val="0"/>
          <w:i w:val="0"/>
          <w:smallCaps w:val="0"/>
          <w:strike w:val="0"/>
          <w:sz w:val="20"/>
          <w:u w:val="none"/>
        </w:rPr>
        <w:t xml:space="preserve">, v. HETRONIC INTERNATIONAL, INC. Respondent. </w:t>
      </w:r>
    </w:p>
    <w:p>
      <w:pPr>
        <w:spacing w:after="60"/>
      </w:pPr>
      <w:r>
        <w:rPr>
          <w:b w:val="0"/>
          <w:i w:val="0"/>
          <w:smallCaps w:val="0"/>
          <w:strike w:val="0"/>
          <w:color w:val="0563C1"/>
          <w:sz w:val="20"/>
          <w:u w:val="single"/>
        </w:rPr>
        <w:t>https://www.supremecourt.gov/DocketPDF/21/21-1043/250394/20221219183705310_Abitron%20-%20Brief%20for%20Petitioners.pdf</w:t>
      </w:r>
      <w:r>
        <w:rPr>
          <w:b w:val="0"/>
          <w:i w:val="0"/>
          <w:smallCaps w:val="0"/>
          <w:strike w:val="0"/>
          <w:sz w:val="20"/>
          <w:u w:val="none"/>
        </w:rPr>
        <w:t xml:space="preserve"> //DH</w:t>
      </w:r>
    </w:p>
    <w:p>
      <w:pPr>
        <w:spacing w:after="60"/>
      </w:pPr>
      <w:r>
        <w:rPr>
          <w:b w:val="0"/>
          <w:i w:val="0"/>
          <w:smallCaps w:val="0"/>
          <w:strike w:val="0"/>
          <w:sz w:val="20"/>
          <w:u w:val="none"/>
        </w:rPr>
        <w:t xml:space="preserve">II.A-B.  </w:t>
      </w:r>
      <w:r>
        <w:rPr>
          <w:b w:val="0"/>
          <w:i w:val="0"/>
          <w:smallCaps w:val="0"/>
          <w:strike w:val="0"/>
          <w:sz w:val="20"/>
          <w:highlight w:val="cyan"/>
          <w:u w:val="single"/>
        </w:rPr>
        <w:t>The government</w:t>
      </w:r>
      <w:r>
        <w:rPr>
          <w:b w:val="0"/>
          <w:i w:val="0"/>
          <w:smallCaps w:val="0"/>
          <w:strike w:val="0"/>
          <w:sz w:val="20"/>
          <w:u w:val="none"/>
        </w:rPr>
        <w:t xml:space="preserve"> agrees the Lanham Act does not apply extraterritorially.  It </w:t>
      </w:r>
      <w:r>
        <w:rPr>
          <w:b w:val="0"/>
          <w:i w:val="0"/>
          <w:smallCaps w:val="0"/>
          <w:strike w:val="0"/>
          <w:sz w:val="20"/>
          <w:highlight w:val="cyan"/>
          <w:u w:val="single"/>
        </w:rPr>
        <w:t>suggests</w:t>
      </w:r>
      <w:r>
        <w:rPr>
          <w:b w:val="0"/>
          <w:i w:val="0"/>
          <w:smallCaps w:val="0"/>
          <w:strike w:val="0"/>
          <w:sz w:val="20"/>
          <w:u w:val="single"/>
        </w:rPr>
        <w:t xml:space="preserve"> that applying the Act to </w:t>
      </w:r>
      <w:r>
        <w:rPr>
          <w:b w:val="0"/>
          <w:i w:val="0"/>
          <w:smallCaps w:val="0"/>
          <w:strike w:val="0"/>
          <w:sz w:val="20"/>
          <w:highlight w:val="cyan"/>
          <w:u w:val="single"/>
        </w:rPr>
        <w:t>a foreign sale represents a “domestic” application if the “effect” of that sale might be U.S. consumer confusion</w:t>
      </w:r>
      <w:r>
        <w:rPr>
          <w:b w:val="0"/>
          <w:i w:val="0"/>
          <w:smallCaps w:val="0"/>
          <w:strike w:val="0"/>
          <w:sz w:val="20"/>
          <w:u w:val="none"/>
        </w:rPr>
        <w:t xml:space="preserve">.  </w:t>
      </w:r>
      <w:r>
        <w:rPr>
          <w:b w:val="0"/>
          <w:i w:val="0"/>
          <w:smallCaps w:val="0"/>
          <w:strike w:val="0"/>
          <w:sz w:val="20"/>
          <w:highlight w:val="cyan"/>
          <w:u w:val="single"/>
        </w:rPr>
        <w:t>That</w:t>
      </w:r>
      <w:r>
        <w:rPr>
          <w:b w:val="0"/>
          <w:i w:val="0"/>
          <w:smallCaps w:val="0"/>
          <w:strike w:val="0"/>
          <w:sz w:val="20"/>
          <w:u w:val="single"/>
        </w:rPr>
        <w:t xml:space="preserve"> argument </w:t>
      </w:r>
      <w:r>
        <w:rPr>
          <w:b w:val="0"/>
          <w:i w:val="0"/>
          <w:smallCaps w:val="0"/>
          <w:strike w:val="0"/>
          <w:sz w:val="20"/>
          <w:highlight w:val="cyan"/>
          <w:u w:val="single"/>
        </w:rPr>
        <w:t>is</w:t>
      </w:r>
      <w:r>
        <w:rPr>
          <w:b w:val="0"/>
          <w:i w:val="0"/>
          <w:smallCaps w:val="0"/>
          <w:strike w:val="0"/>
          <w:sz w:val="20"/>
          <w:u w:val="none"/>
        </w:rPr>
        <w:t xml:space="preserve"> waived and </w:t>
      </w:r>
      <w:r>
        <w:rPr>
          <w:b/>
          <w:i w:val="0"/>
          <w:smallCaps w:val="0"/>
          <w:strike w:val="0"/>
          <w:sz w:val="20"/>
          <w:highlight w:val="cyan"/>
          <w:u w:val="single"/>
        </w:rPr>
        <w:t>without merit.</w:t>
      </w:r>
      <w:r>
        <w:rPr>
          <w:b w:val="0"/>
          <w:i w:val="0"/>
          <w:smallCaps w:val="0"/>
          <w:strike w:val="0"/>
          <w:sz w:val="20"/>
          <w:u w:val="none"/>
        </w:rPr>
        <w:t xml:space="preserve">  </w:t>
      </w:r>
      <w:r>
        <w:rPr>
          <w:b w:val="0"/>
          <w:i w:val="0"/>
          <w:smallCaps w:val="0"/>
          <w:strike w:val="0"/>
          <w:sz w:val="20"/>
          <w:u w:val="single"/>
        </w:rPr>
        <w:t xml:space="preserve">The Lanham Act requires “use in commerce.”  </w:t>
      </w:r>
      <w:r>
        <w:rPr>
          <w:b w:val="0"/>
          <w:i w:val="0"/>
          <w:smallCaps w:val="0"/>
          <w:strike w:val="0"/>
          <w:sz w:val="20"/>
          <w:highlight w:val="cyan"/>
          <w:u w:val="single"/>
        </w:rPr>
        <w:t xml:space="preserve">Because the Act’s definition of “commerce” does not extend to foreign conduct, the “use in commerce” must be </w:t>
      </w:r>
      <w:r>
        <w:rPr>
          <w:b w:val="0"/>
          <w:i/>
          <w:smallCaps w:val="0"/>
          <w:strike w:val="0"/>
          <w:sz w:val="20"/>
          <w:highlight w:val="cyan"/>
          <w:u w:val="single"/>
        </w:rPr>
        <w:t>in the U</w:t>
      </w:r>
      <w:r>
        <w:rPr>
          <w:b w:val="0"/>
          <w:i/>
          <w:smallCaps w:val="0"/>
          <w:strike w:val="0"/>
          <w:sz w:val="20"/>
          <w:u w:val="none"/>
        </w:rPr>
        <w:t xml:space="preserve">nited </w:t>
      </w:r>
      <w:r>
        <w:rPr>
          <w:b w:val="0"/>
          <w:i/>
          <w:smallCaps w:val="0"/>
          <w:strike w:val="0"/>
          <w:sz w:val="20"/>
          <w:highlight w:val="cyan"/>
          <w:u w:val="single"/>
        </w:rPr>
        <w:t>S</w:t>
      </w:r>
      <w:r>
        <w:rPr>
          <w:b w:val="0"/>
          <w:i/>
          <w:smallCaps w:val="0"/>
          <w:strike w:val="0"/>
          <w:sz w:val="20"/>
          <w:u w:val="none"/>
        </w:rPr>
        <w:t>tates.</w:t>
      </w:r>
      <w:r>
        <w:rPr>
          <w:b w:val="0"/>
          <w:i w:val="0"/>
          <w:smallCaps w:val="0"/>
          <w:strike w:val="0"/>
          <w:sz w:val="20"/>
          <w:u w:val="none"/>
        </w:rPr>
        <w:t xml:space="preserve">   </w:t>
      </w:r>
    </w:p>
    <w:p>
      <w:pPr>
        <w:spacing w:after="60"/>
      </w:pPr>
      <w:r>
        <w:rPr>
          <w:b w:val="0"/>
          <w:i w:val="0"/>
          <w:smallCaps w:val="0"/>
          <w:strike w:val="0"/>
          <w:sz w:val="20"/>
          <w:u w:val="none"/>
        </w:rPr>
        <w:t xml:space="preserve">Likewise, the Act’s text and structure make clear that its “focus” is trademarks’ “use in commerce.”  It is that “use” that must be domestic.  </w:t>
      </w:r>
      <w:r>
        <w:rPr>
          <w:b w:val="0"/>
          <w:i w:val="0"/>
          <w:smallCaps w:val="0"/>
          <w:strike w:val="0"/>
          <w:sz w:val="20"/>
          <w:highlight w:val="cyan"/>
          <w:u w:val="single"/>
        </w:rPr>
        <w:t>The government suggests</w:t>
      </w:r>
      <w:r>
        <w:rPr>
          <w:b w:val="0"/>
          <w:i w:val="0"/>
          <w:smallCaps w:val="0"/>
          <w:strike w:val="0"/>
          <w:sz w:val="20"/>
          <w:u w:val="single"/>
        </w:rPr>
        <w:t xml:space="preserve"> that the statute’s “focus” is consumer confusion</w:t>
      </w:r>
      <w:r>
        <w:rPr>
          <w:b w:val="0"/>
          <w:i w:val="0"/>
          <w:smallCaps w:val="0"/>
          <w:strike w:val="0"/>
          <w:sz w:val="20"/>
          <w:u w:val="none"/>
        </w:rPr>
        <w:t xml:space="preserve">, </w:t>
      </w:r>
      <w:r>
        <w:rPr>
          <w:b w:val="0"/>
          <w:i w:val="0"/>
          <w:smallCaps w:val="0"/>
          <w:strike w:val="0"/>
          <w:sz w:val="20"/>
          <w:u w:val="single"/>
        </w:rPr>
        <w:t xml:space="preserve">such that </w:t>
      </w:r>
      <w:r>
        <w:rPr>
          <w:b w:val="0"/>
          <w:i w:val="0"/>
          <w:smallCaps w:val="0"/>
          <w:strike w:val="0"/>
          <w:sz w:val="20"/>
          <w:highlight w:val="cyan"/>
          <w:u w:val="single"/>
        </w:rPr>
        <w:t xml:space="preserve">the Act is applied “domestically” to foreign conduct if that conduct has the </w:t>
      </w:r>
      <w:r>
        <w:rPr>
          <w:b/>
          <w:i w:val="0"/>
          <w:smallCaps w:val="0"/>
          <w:strike w:val="0"/>
          <w:sz w:val="20"/>
          <w:highlight w:val="cyan"/>
          <w:u w:val="single"/>
        </w:rPr>
        <w:t>potential “effect</w:t>
      </w:r>
      <w:r>
        <w:rPr>
          <w:b w:val="0"/>
          <w:i w:val="0"/>
          <w:smallCaps w:val="0"/>
          <w:strike w:val="0"/>
          <w:sz w:val="20"/>
          <w:highlight w:val="cyan"/>
          <w:u w:val="single"/>
        </w:rPr>
        <w:t>” of</w:t>
      </w:r>
      <w:r>
        <w:rPr>
          <w:b w:val="0"/>
          <w:i w:val="0"/>
          <w:smallCaps w:val="0"/>
          <w:strike w:val="0"/>
          <w:sz w:val="20"/>
          <w:highlight w:val="cyan"/>
          <w:u w:val="none"/>
        </w:rPr>
        <w:t xml:space="preserve"> </w:t>
      </w:r>
      <w:r>
        <w:rPr>
          <w:b w:val="0"/>
          <w:i w:val="0"/>
          <w:smallCaps w:val="0"/>
          <w:strike w:val="0"/>
          <w:sz w:val="20"/>
          <w:highlight w:val="cyan"/>
          <w:u w:val="single"/>
        </w:rPr>
        <w:t>confusing</w:t>
      </w:r>
      <w:r>
        <w:rPr>
          <w:b w:val="0"/>
          <w:i w:val="0"/>
          <w:smallCaps w:val="0"/>
          <w:strike w:val="0"/>
          <w:sz w:val="20"/>
          <w:u w:val="none"/>
        </w:rPr>
        <w:t xml:space="preserve"> U.S. </w:t>
      </w:r>
      <w:r>
        <w:rPr>
          <w:b w:val="0"/>
          <w:i w:val="0"/>
          <w:smallCaps w:val="0"/>
          <w:strike w:val="0"/>
          <w:sz w:val="20"/>
          <w:highlight w:val="cyan"/>
          <w:u w:val="single"/>
        </w:rPr>
        <w:t>consumers.  But extraterritoriality is</w:t>
      </w:r>
      <w:r>
        <w:rPr>
          <w:b w:val="0"/>
          <w:i w:val="0"/>
          <w:smallCaps w:val="0"/>
          <w:strike w:val="0"/>
          <w:sz w:val="20"/>
          <w:u w:val="none"/>
        </w:rPr>
        <w:t xml:space="preserve"> primarily </w:t>
      </w:r>
      <w:r>
        <w:rPr>
          <w:b w:val="0"/>
          <w:i w:val="0"/>
          <w:smallCaps w:val="0"/>
          <w:strike w:val="0"/>
          <w:sz w:val="20"/>
          <w:highlight w:val="cyan"/>
          <w:u w:val="single"/>
        </w:rPr>
        <w:t xml:space="preserve">concerned with </w:t>
      </w:r>
      <w:r>
        <w:rPr>
          <w:b w:val="0"/>
          <w:i/>
          <w:smallCaps w:val="0"/>
          <w:strike w:val="0"/>
          <w:sz w:val="20"/>
          <w:highlight w:val="cyan"/>
          <w:u w:val="single"/>
        </w:rPr>
        <w:t>conduct</w:t>
      </w:r>
      <w:r>
        <w:rPr>
          <w:b/>
          <w:i w:val="0"/>
          <w:smallCaps w:val="0"/>
          <w:strike w:val="0"/>
          <w:sz w:val="20"/>
          <w:highlight w:val="cyan"/>
          <w:u w:val="single"/>
        </w:rPr>
        <w:t xml:space="preserve">, not </w:t>
      </w:r>
      <w:r>
        <w:rPr>
          <w:b/>
          <w:i/>
          <w:smallCaps w:val="0"/>
          <w:strike w:val="0"/>
          <w:sz w:val="20"/>
          <w:highlight w:val="cyan"/>
          <w:u w:val="single"/>
        </w:rPr>
        <w:t>effects</w:t>
      </w:r>
      <w:r>
        <w:rPr>
          <w:b/>
          <w:i w:val="0"/>
          <w:smallCaps w:val="0"/>
          <w:strike w:val="0"/>
          <w:sz w:val="20"/>
          <w:u w:val="single"/>
        </w:rPr>
        <w:t>.</w:t>
      </w:r>
      <w:r>
        <w:rPr>
          <w:b w:val="0"/>
          <w:i w:val="0"/>
          <w:smallCaps w:val="0"/>
          <w:strike w:val="0"/>
          <w:sz w:val="20"/>
          <w:u w:val="none"/>
        </w:rPr>
        <w:t xml:space="preserve">  The government’s standard is a test for determining when an </w:t>
      </w:r>
      <w:r>
        <w:rPr>
          <w:b w:val="0"/>
          <w:i/>
          <w:smallCaps w:val="0"/>
          <w:strike w:val="0"/>
          <w:sz w:val="20"/>
          <w:u w:val="none"/>
        </w:rPr>
        <w:t>extraterritorial law</w:t>
      </w:r>
      <w:r>
        <w:rPr>
          <w:b w:val="0"/>
          <w:i w:val="0"/>
          <w:smallCaps w:val="0"/>
          <w:strike w:val="0"/>
          <w:sz w:val="20"/>
          <w:u w:val="none"/>
        </w:rPr>
        <w:t xml:space="preserve"> should cover foreign conduct—not distinguishing extraterritorial from domestic application.  </w:t>
      </w:r>
      <w:r>
        <w:rPr>
          <w:b w:val="0"/>
          <w:i w:val="0"/>
          <w:smallCaps w:val="0"/>
          <w:strike w:val="0"/>
          <w:sz w:val="20"/>
          <w:highlight w:val="cyan"/>
          <w:u w:val="single"/>
        </w:rPr>
        <w:t>The government’s test</w:t>
      </w:r>
      <w:r>
        <w:rPr>
          <w:b w:val="0"/>
          <w:i w:val="0"/>
          <w:smallCaps w:val="0"/>
          <w:strike w:val="0"/>
          <w:sz w:val="20"/>
          <w:u w:val="single"/>
        </w:rPr>
        <w:t xml:space="preserve"> gives the statutory term “use in commerce” inconsistent meanings.  It </w:t>
      </w:r>
      <w:r>
        <w:rPr>
          <w:b w:val="0"/>
          <w:i w:val="0"/>
          <w:smallCaps w:val="0"/>
          <w:strike w:val="0"/>
          <w:sz w:val="20"/>
          <w:highlight w:val="cyan"/>
          <w:u w:val="single"/>
        </w:rPr>
        <w:t xml:space="preserve">is </w:t>
      </w:r>
      <w:r>
        <w:rPr>
          <w:b/>
          <w:i w:val="0"/>
          <w:smallCaps w:val="0"/>
          <w:strike w:val="0"/>
          <w:sz w:val="20"/>
          <w:highlight w:val="cyan"/>
          <w:u w:val="single"/>
        </w:rPr>
        <w:t>unpredictable</w:t>
      </w:r>
      <w:r>
        <w:rPr>
          <w:b w:val="0"/>
          <w:i w:val="0"/>
          <w:smallCaps w:val="0"/>
          <w:strike w:val="0"/>
          <w:sz w:val="20"/>
          <w:u w:val="none"/>
        </w:rPr>
        <w:t xml:space="preserve">, threatens international friction, and serves little practical purpose.  </w:t>
      </w:r>
    </w:p>
    <w:p>
      <w:pPr>
        <w:spacing w:after="60"/>
      </w:pPr>
      <w:r>
        <w:rPr>
          <w:b w:val="0"/>
          <w:i w:val="0"/>
          <w:smallCaps w:val="0"/>
          <w:strike w:val="0"/>
          <w:sz w:val="20"/>
          <w:u w:val="none"/>
        </w:rPr>
        <w:t xml:space="preserve">III.A.  </w:t>
      </w:r>
      <w:r>
        <w:rPr>
          <w:b w:val="0"/>
          <w:i w:val="0"/>
          <w:smallCaps w:val="0"/>
          <w:strike w:val="0"/>
          <w:sz w:val="20"/>
          <w:u w:val="single"/>
        </w:rPr>
        <w:t xml:space="preserve">The </w:t>
      </w:r>
      <w:r>
        <w:rPr>
          <w:b w:val="0"/>
          <w:i w:val="0"/>
          <w:smallCaps w:val="0"/>
          <w:strike w:val="0"/>
          <w:sz w:val="20"/>
          <w:u w:val="none"/>
        </w:rPr>
        <w:t xml:space="preserve">Tenth Circuit’s diversion-of-foreign-sales </w:t>
      </w:r>
      <w:r>
        <w:rPr>
          <w:b w:val="0"/>
          <w:i w:val="0"/>
          <w:smallCaps w:val="0"/>
          <w:strike w:val="0"/>
          <w:sz w:val="20"/>
          <w:u w:val="single"/>
        </w:rPr>
        <w:t xml:space="preserve">theory—that the Lanham Act applies extraterritorially whenever </w:t>
      </w:r>
      <w:r>
        <w:rPr>
          <w:b w:val="0"/>
          <w:i/>
          <w:smallCaps w:val="0"/>
          <w:strike w:val="0"/>
          <w:sz w:val="20"/>
          <w:u w:val="single"/>
        </w:rPr>
        <w:t>U.S.</w:t>
      </w:r>
      <w:r>
        <w:rPr>
          <w:b w:val="0"/>
          <w:i w:val="0"/>
          <w:smallCaps w:val="0"/>
          <w:strike w:val="0"/>
          <w:sz w:val="20"/>
          <w:u w:val="single"/>
        </w:rPr>
        <w:t xml:space="preserve"> plaintiffs claim lost </w:t>
      </w:r>
      <w:r>
        <w:rPr>
          <w:b w:val="0"/>
          <w:i/>
          <w:smallCaps w:val="0"/>
          <w:strike w:val="0"/>
          <w:sz w:val="20"/>
          <w:u w:val="single"/>
        </w:rPr>
        <w:t>foreign</w:t>
      </w:r>
      <w:r>
        <w:rPr>
          <w:b w:val="0"/>
          <w:i w:val="0"/>
          <w:smallCaps w:val="0"/>
          <w:strike w:val="0"/>
          <w:sz w:val="20"/>
          <w:u w:val="single"/>
        </w:rPr>
        <w:t xml:space="preserve"> sales—distorts the Act beyond recognition</w:t>
      </w:r>
      <w:r>
        <w:rPr>
          <w:b w:val="0"/>
          <w:i w:val="0"/>
          <w:smallCaps w:val="0"/>
          <w:strike w:val="0"/>
          <w:sz w:val="20"/>
          <w:u w:val="none"/>
        </w:rPr>
        <w:t xml:space="preserve">.  It is divorced from statutory text; exceeds the commerce power; and would impose a protectionist regime in breach of treaty obligations. </w:t>
      </w:r>
    </w:p>
    <w:p>
      <w:pPr>
        <w:spacing w:after="60"/>
      </w:pPr>
      <w:r>
        <w:rPr>
          <w:b/>
          <w:i w:val="0"/>
          <w:smallCaps w:val="0"/>
          <w:strike w:val="0"/>
          <w:sz w:val="20"/>
          <w:u w:val="none"/>
        </w:rPr>
        <w:t>If the plan is only domestic, it can’t solve</w:t>
      </w:r>
    </w:p>
    <w:p>
      <w:pPr>
        <w:spacing w:after="60"/>
      </w:pPr>
      <w:r>
        <w:rPr>
          <w:b/>
          <w:i w:val="0"/>
          <w:smallCaps w:val="0"/>
          <w:strike w:val="0"/>
          <w:sz w:val="26"/>
          <w:u w:val="none"/>
        </w:rPr>
        <w:t>Kammel ’23</w:t>
      </w:r>
      <w:r>
        <w:rPr>
          <w:b w:val="0"/>
          <w:i w:val="0"/>
          <w:smallCaps w:val="0"/>
          <w:strike w:val="0"/>
          <w:sz w:val="20"/>
          <w:u w:val="none"/>
        </w:rPr>
        <w:t xml:space="preserve"> [Kari; 2023;</w:t>
      </w:r>
      <w:r>
        <w:rPr>
          <w:b w:val="0"/>
          <w:i w:val="0"/>
          <w:smallCaps w:val="0"/>
          <w:strike w:val="0"/>
          <w:sz w:val="20"/>
          <w:u w:val="none"/>
        </w:rPr>
        <w:t xml:space="preserve"> Director of the Center for Anti-Counterfeiting and Product Protection at Michigan State University and an adjunct professor of law at MSU College of Law</w:t>
      </w:r>
      <w:r>
        <w:rPr>
          <w:b w:val="0"/>
          <w:i w:val="0"/>
          <w:smallCaps w:val="0"/>
          <w:strike w:val="0"/>
          <w:sz w:val="20"/>
          <w:u w:val="none"/>
        </w:rPr>
        <w:t xml:space="preserve">; </w:t>
      </w:r>
      <w:r>
        <w:rPr>
          <w:b w:val="0"/>
          <w:i w:val="0"/>
          <w:smallCaps w:val="0"/>
          <w:strike w:val="0"/>
          <w:sz w:val="20"/>
          <w:u w:val="none"/>
        </w:rPr>
        <w:t xml:space="preserve">“Trademark Counterfeiting Enforcement Beyond Borders: The Complexities of Enforcing Trademark Rights Extraterritorially in a Global Marketplace with Territorial-Based Enforcement,” 33 Fordham </w:t>
      </w:r>
      <w:r>
        <w:rPr>
          <w:b w:val="0"/>
          <w:i w:val="0"/>
          <w:smallCaps w:val="0"/>
          <w:strike w:val="0"/>
          <w:sz w:val="20"/>
          <w:u w:val="none"/>
        </w:rPr>
        <w:t>Intell</w:t>
      </w:r>
      <w:r>
        <w:rPr>
          <w:b w:val="0"/>
          <w:i w:val="0"/>
          <w:smallCaps w:val="0"/>
          <w:strike w:val="0"/>
          <w:sz w:val="20"/>
          <w:u w:val="none"/>
        </w:rPr>
        <w:t>. Prop. Media &amp; Ent. L.J. 595</w:t>
      </w:r>
      <w:r>
        <w:rPr>
          <w:b w:val="0"/>
          <w:i w:val="0"/>
          <w:smallCaps w:val="0"/>
          <w:strike w:val="0"/>
          <w:sz w:val="20"/>
          <w:u w:val="none"/>
        </w:rPr>
        <w:t>]</w:t>
      </w:r>
    </w:p>
    <w:p>
      <w:pPr>
        <w:spacing w:after="60"/>
      </w:pPr>
      <w:r>
        <w:rPr>
          <w:b w:val="0"/>
          <w:i w:val="0"/>
          <w:smallCaps w:val="0"/>
          <w:strike w:val="0"/>
          <w:sz w:val="20"/>
          <w:u w:val="none"/>
        </w:rPr>
        <w:t xml:space="preserve">Despite the existence of these treaties, </w:t>
      </w:r>
      <w:r>
        <w:rPr>
          <w:b w:val="0"/>
          <w:i w:val="0"/>
          <w:smallCaps w:val="0"/>
          <w:strike w:val="0"/>
          <w:sz w:val="20"/>
          <w:u w:val="single"/>
        </w:rPr>
        <w:t>trademark enforcement still lacks a harmonious global approach</w:t>
      </w:r>
      <w:r>
        <w:rPr>
          <w:b w:val="0"/>
          <w:i w:val="0"/>
          <w:smallCaps w:val="0"/>
          <w:strike w:val="0"/>
          <w:sz w:val="20"/>
          <w:u w:val="none"/>
        </w:rPr>
        <w:t xml:space="preserve">.45 The </w:t>
      </w:r>
      <w:r>
        <w:rPr>
          <w:b w:val="0"/>
          <w:i w:val="0"/>
          <w:smallCaps w:val="0"/>
          <w:strike w:val="0"/>
          <w:sz w:val="20"/>
          <w:u w:val="single"/>
        </w:rPr>
        <w:t>treaties rely on national courts to manage trademark litigation domestically</w:t>
      </w:r>
      <w:r>
        <w:rPr>
          <w:b w:val="0"/>
          <w:i w:val="0"/>
          <w:smallCaps w:val="0"/>
          <w:strike w:val="0"/>
          <w:sz w:val="20"/>
          <w:u w:val="none"/>
        </w:rPr>
        <w:t xml:space="preserve">.46 Countries have introduced new laws that directly address various trademark issues.47 However, </w:t>
      </w:r>
      <w:r>
        <w:rPr>
          <w:b/>
          <w:i w:val="0"/>
          <w:smallCaps w:val="0"/>
          <w:strike w:val="0"/>
          <w:sz w:val="20"/>
          <w:highlight w:val="cyan"/>
          <w:u w:val="single"/>
        </w:rPr>
        <w:t>a purely national approach cannot solve</w:t>
      </w:r>
      <w:r>
        <w:rPr>
          <w:b w:val="0"/>
          <w:i w:val="0"/>
          <w:smallCaps w:val="0"/>
          <w:strike w:val="0"/>
          <w:sz w:val="20"/>
          <w:highlight w:val="cyan"/>
          <w:u w:val="none"/>
        </w:rPr>
        <w:t xml:space="preserve"> </w:t>
      </w:r>
      <w:r>
        <w:rPr>
          <w:b w:val="0"/>
          <w:i w:val="0"/>
          <w:smallCaps w:val="0"/>
          <w:strike w:val="0"/>
          <w:sz w:val="20"/>
          <w:highlight w:val="cyan"/>
          <w:u w:val="single"/>
        </w:rPr>
        <w:t>what is an international issue</w:t>
      </w:r>
      <w:r>
        <w:rPr>
          <w:b w:val="0"/>
          <w:i w:val="0"/>
          <w:smallCaps w:val="0"/>
          <w:strike w:val="0"/>
          <w:sz w:val="20"/>
          <w:highlight w:val="cyan"/>
          <w:u w:val="none"/>
        </w:rPr>
        <w:t xml:space="preserve">. </w:t>
      </w:r>
      <w:r>
        <w:rPr>
          <w:b w:val="0"/>
          <w:i w:val="0"/>
          <w:smallCaps w:val="0"/>
          <w:strike w:val="0"/>
          <w:sz w:val="20"/>
          <w:highlight w:val="cyan"/>
          <w:u w:val="single"/>
        </w:rPr>
        <w:t>If the extraterritorial reach of some jurisdictions is not expanded,</w:t>
      </w:r>
      <w:r>
        <w:rPr>
          <w:b w:val="0"/>
          <w:i w:val="0"/>
          <w:smallCaps w:val="0"/>
          <w:strike w:val="0"/>
          <w:sz w:val="20"/>
          <w:u w:val="single"/>
        </w:rPr>
        <w:t xml:space="preserve"> some </w:t>
      </w:r>
      <w:r>
        <w:rPr>
          <w:b w:val="0"/>
          <w:i w:val="0"/>
          <w:smallCaps w:val="0"/>
          <w:strike w:val="0"/>
          <w:sz w:val="20"/>
          <w:highlight w:val="cyan"/>
          <w:u w:val="single"/>
        </w:rPr>
        <w:t>infringers will go unpunished</w:t>
      </w:r>
      <w:r>
        <w:rPr>
          <w:b w:val="0"/>
          <w:i w:val="0"/>
          <w:smallCaps w:val="0"/>
          <w:strike w:val="0"/>
          <w:sz w:val="20"/>
          <w:u w:val="single"/>
        </w:rPr>
        <w:t xml:space="preserve"> and both trademark holders and consumers will be harme</w:t>
      </w:r>
      <w:r>
        <w:rPr>
          <w:b w:val="0"/>
          <w:i w:val="0"/>
          <w:smallCaps w:val="0"/>
          <w:strike w:val="0"/>
          <w:sz w:val="20"/>
          <w:u w:val="none"/>
        </w:rPr>
        <w:t xml:space="preserve">d. But merely extending the extraterritoriality of domestic jurisdiction will have detrimental effects on the trademark holders and raise further questions about which body enforces the law. </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