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“Domestic” law is explicitly </w:t>
      </w:r>
      <w:r>
        <w:rPr>
          <w:b/>
          <w:i w:val="0"/>
          <w:smallCaps w:val="0"/>
          <w:strike w:val="0"/>
          <w:sz w:val="26"/>
          <w:u w:val="single"/>
        </w:rPr>
        <w:t>distinguished</w:t>
      </w:r>
      <w:r>
        <w:rPr>
          <w:b/>
          <w:i w:val="0"/>
          <w:smallCaps w:val="0"/>
          <w:strike w:val="0"/>
          <w:sz w:val="26"/>
          <w:u w:val="none"/>
        </w:rPr>
        <w:t xml:space="preserve"> from treaty law.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Horn ’23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>Marian Blank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September 13; Senior Judge of the U.S. Court of Federal Claims;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“Christensen v. United States,” 168 Fed. Cl. 263, </w:t>
      </w:r>
      <w:r>
        <w:rPr>
          <w:b w:val="0"/>
          <w:i w:val="0"/>
          <w:smallCaps w:val="0"/>
          <w:strike w:val="0"/>
          <w:sz w:val="20"/>
          <w:u w:val="none"/>
        </w:rPr>
        <w:t>lexis]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According to plaintiffs, "the [Internal Revenue] Code need not expressly provide for a foreign tax credit if the foreign levy in question falls within the treaty definition of a creditable tax" because "what constitutes a United States income tax for purposes of </w:t>
      </w:r>
      <w:r>
        <w:rPr>
          <w:b/>
          <w:i w:val="0"/>
          <w:smallCaps w:val="0"/>
          <w:strike w:val="0"/>
          <w:sz w:val="24"/>
          <w:u w:val="single"/>
        </w:rPr>
        <w:t>the application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 treaty </w:t>
      </w:r>
      <w:r>
        <w:rPr>
          <w:b/>
          <w:i w:val="0"/>
          <w:smallCaps w:val="0"/>
          <w:strike w:val="0"/>
          <w:sz w:val="24"/>
          <w:u w:val="single"/>
        </w:rPr>
        <w:t>derives</w:t>
      </w:r>
      <w:r>
        <w:rPr>
          <w:b/>
          <w:i w:val="0"/>
          <w:smallCaps w:val="0"/>
          <w:strike w:val="0"/>
          <w:sz w:val="24"/>
          <w:u w:val="single"/>
        </w:rPr>
        <w:t xml:space="preserve"> from the </w:t>
      </w:r>
      <w:r>
        <w:rPr>
          <w:b/>
          <w:i w:val="0"/>
          <w:smallCaps w:val="0"/>
          <w:strike w:val="0"/>
          <w:sz w:val="24"/>
          <w:u w:val="single"/>
        </w:rPr>
        <w:t>treaty's definition</w:t>
      </w:r>
      <w:r>
        <w:rPr>
          <w:b/>
          <w:i w:val="0"/>
          <w:smallCaps w:val="0"/>
          <w:strike w:val="0"/>
          <w:sz w:val="24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not</w:t>
      </w:r>
      <w:r>
        <w:rPr>
          <w:b/>
          <w:i w:val="0"/>
          <w:smallCaps w:val="0"/>
          <w:strike w:val="0"/>
          <w:sz w:val="24"/>
          <w:u w:val="single"/>
        </w:rPr>
        <w:t xml:space="preserve"> from </w:t>
      </w:r>
      <w:r>
        <w:rPr>
          <w:b/>
          <w:i w:val="0"/>
          <w:smallCaps w:val="0"/>
          <w:strike w:val="0"/>
          <w:sz w:val="24"/>
          <w:u w:val="single"/>
        </w:rPr>
        <w:t>domestic law</w:t>
      </w:r>
      <w:r>
        <w:rPr>
          <w:b w:val="0"/>
          <w:i w:val="0"/>
          <w:smallCaps w:val="0"/>
          <w:strike w:val="0"/>
          <w:sz w:val="16"/>
          <w:u w:val="none"/>
        </w:rPr>
        <w:t>."32 (emphasis in original; alteration added). Plaintiffs argue that "[d]</w:t>
      </w:r>
      <w:r>
        <w:rPr>
          <w:b w:val="0"/>
          <w:i w:val="0"/>
          <w:smallCaps w:val="0"/>
          <w:strike w:val="0"/>
          <w:sz w:val="16"/>
          <w:u w:val="none"/>
        </w:rPr>
        <w:t>omestic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law therefore does not constitute an absolute limitation on the rights and entitlements that may be granted to treaty beneficiaries under the terms of a U.S. tax treaty." (alteration added). Plaintiffs state that "[t]he parties agree that the NIIT constitutes a United States income tax as defined in Article 2(1) and 2(2) of the French Treaty," and, therefore, "that when a treaty provides a definition of a covered tax, it is that definition, and not the more limited definition under United States or foreign law, that is applied." (alteration added).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