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Park’s index is a bad measure of IPR---conflates </w:t>
      </w:r>
      <w:r>
        <w:rPr>
          <w:b/>
          <w:i w:val="0"/>
          <w:smallCaps w:val="0"/>
          <w:strike w:val="0"/>
          <w:sz w:val="26"/>
          <w:u w:val="single"/>
        </w:rPr>
        <w:t>protection</w:t>
      </w:r>
      <w:r>
        <w:rPr>
          <w:b/>
          <w:i w:val="0"/>
          <w:smallCaps w:val="0"/>
          <w:strike w:val="0"/>
          <w:sz w:val="26"/>
          <w:u w:val="none"/>
        </w:rPr>
        <w:t xml:space="preserve"> and </w:t>
      </w:r>
      <w:r>
        <w:rPr>
          <w:b/>
          <w:i w:val="0"/>
          <w:smallCaps w:val="0"/>
          <w:strike w:val="0"/>
          <w:sz w:val="26"/>
          <w:u w:val="single"/>
        </w:rPr>
        <w:t>enforcement</w:t>
      </w:r>
      <w:r>
        <w:rPr>
          <w:b/>
          <w:i w:val="0"/>
          <w:smallCaps w:val="0"/>
          <w:strike w:val="0"/>
          <w:sz w:val="26"/>
          <w:u w:val="none"/>
        </w:rPr>
        <w:t xml:space="preserve">. </w:t>
      </w:r>
    </w:p>
    <w:p>
      <w:pPr>
        <w:spacing w:after="80"/>
      </w:pPr>
      <w:r>
        <w:rPr>
          <w:b/>
          <w:i w:val="0"/>
          <w:smallCaps w:val="0"/>
          <w:strike w:val="0"/>
          <w:sz w:val="26"/>
          <w:u w:val="none"/>
        </w:rPr>
        <w:t>Balsmeier</w:t>
      </w:r>
      <w:r>
        <w:rPr>
          <w:b/>
          <w:i w:val="0"/>
          <w:smallCaps w:val="0"/>
          <w:strike w:val="0"/>
          <w:sz w:val="26"/>
          <w:u w:val="none"/>
        </w:rPr>
        <w:t xml:space="preserve"> ’15</w:t>
      </w:r>
      <w:r>
        <w:rPr>
          <w:b w:val="0"/>
          <w:i w:val="0"/>
          <w:smallCaps w:val="0"/>
          <w:strike w:val="0"/>
          <w:sz w:val="20"/>
          <w:u w:val="none"/>
        </w:rPr>
        <w:t xml:space="preserve"> [Benjamin and Julia </w:t>
      </w:r>
      <w:r>
        <w:rPr>
          <w:b w:val="0"/>
          <w:i w:val="0"/>
          <w:smallCaps w:val="0"/>
          <w:strike w:val="0"/>
          <w:sz w:val="20"/>
          <w:u w:val="none"/>
        </w:rPr>
        <w:t>Delanote</w:t>
      </w:r>
      <w:r>
        <w:rPr>
          <w:b w:val="0"/>
          <w:i w:val="0"/>
          <w:smallCaps w:val="0"/>
          <w:strike w:val="0"/>
          <w:sz w:val="20"/>
          <w:u w:val="none"/>
        </w:rPr>
        <w:t xml:space="preserve">; November; </w:t>
      </w:r>
      <w:r>
        <w:rPr>
          <w:b w:val="0"/>
          <w:i w:val="0"/>
          <w:smallCaps w:val="0"/>
          <w:strike w:val="0"/>
          <w:sz w:val="20"/>
          <w:u w:val="none"/>
        </w:rPr>
        <w:t>Associate professor in Entrepreneurship and Innovation</w:t>
      </w:r>
      <w:r>
        <w:rPr>
          <w:b w:val="0"/>
          <w:i w:val="0"/>
          <w:smallCaps w:val="0"/>
          <w:strike w:val="0"/>
          <w:sz w:val="20"/>
          <w:u w:val="none"/>
        </w:rPr>
        <w:t xml:space="preserve"> at the University of Luxembourg; PhD, </w:t>
      </w:r>
      <w:r>
        <w:rPr>
          <w:b w:val="0"/>
          <w:i w:val="0"/>
          <w:smallCaps w:val="0"/>
          <w:strike w:val="0"/>
          <w:sz w:val="20"/>
          <w:u w:val="none"/>
        </w:rPr>
        <w:t>Economist at the European Investment Bank, where she is principally responsible for the EIB Investment Survey, a large scale survey of corporate investment activities</w:t>
      </w:r>
      <w:r>
        <w:rPr>
          <w:b w:val="0"/>
          <w:i w:val="0"/>
          <w:smallCaps w:val="0"/>
          <w:strike w:val="0"/>
          <w:sz w:val="20"/>
          <w:u w:val="none"/>
        </w:rPr>
        <w:t xml:space="preserve">; Journal of Comparative Economics, “Employment growth heterogeneity under varying intellectual property rights regimes in European transition economies: Young vs. mature innovators,” </w:t>
      </w:r>
      <w:r>
        <w:rPr>
          <w:b w:val="0"/>
          <w:i w:val="0"/>
          <w:smallCaps w:val="0"/>
          <w:strike w:val="0"/>
          <w:sz w:val="20"/>
          <w:u w:val="none"/>
        </w:rPr>
        <w:t>Volume 43, Issue 4</w:t>
      </w:r>
      <w:r>
        <w:rPr>
          <w:b w:val="0"/>
          <w:i w:val="0"/>
          <w:smallCaps w:val="0"/>
          <w:strike w:val="0"/>
          <w:sz w:val="20"/>
          <w:u w:val="none"/>
        </w:rPr>
        <w:t>]</w:t>
      </w:r>
    </w:p>
    <w:p>
      <w:pPr>
        <w:spacing w:after="60"/>
      </w:pPr>
      <w:r>
        <w:rPr>
          <w:b w:val="0"/>
          <w:i w:val="0"/>
          <w:smallCaps w:val="0"/>
          <w:strike w:val="0"/>
          <w:sz w:val="16"/>
          <w:u w:val="none"/>
        </w:rPr>
        <w:t xml:space="preserve">The resulting IPR index ranges from 0 to 10. A rating of 10 represents the strongest IPR regime and a rating of 0 indicates that there are basically no effective IPRs in </w:t>
      </w:r>
      <w:r>
        <w:rPr>
          <w:b w:val="0"/>
          <w:i w:val="0"/>
          <w:smallCaps w:val="0"/>
          <w:strike w:val="0"/>
          <w:sz w:val="16"/>
          <w:u w:val="none"/>
        </w:rPr>
        <w:t>the</w:t>
      </w:r>
      <w:r>
        <w:rPr>
          <w:b w:val="0"/>
          <w:i w:val="0"/>
          <w:smallCaps w:val="0"/>
          <w:strike w:val="0"/>
          <w:sz w:val="16"/>
          <w:u w:val="none"/>
        </w:rPr>
        <w:t xml:space="preserve"> </w:t>
      </w:r>
      <w:r>
        <w:rPr>
          <w:b w:val="0"/>
          <w:i w:val="0"/>
          <w:smallCaps w:val="0"/>
          <w:strike w:val="0"/>
          <w:sz w:val="16"/>
          <w:u w:val="none"/>
        </w:rPr>
        <w:t>particular country</w:t>
      </w:r>
      <w:r>
        <w:rPr>
          <w:b w:val="0"/>
          <w:i w:val="0"/>
          <w:smallCaps w:val="0"/>
          <w:strike w:val="0"/>
          <w:sz w:val="16"/>
          <w:u w:val="none"/>
        </w:rPr>
        <w:t xml:space="preserve">. </w:t>
      </w:r>
      <w:r>
        <w:rPr>
          <w:b/>
          <w:i w:val="0"/>
          <w:smallCaps w:val="0"/>
          <w:strike w:val="0"/>
          <w:sz w:val="24"/>
          <w:highlight w:val="cyan"/>
          <w:u w:val="single"/>
        </w:rPr>
        <w:t xml:space="preserve">Most of the studies trying to measure the </w:t>
      </w:r>
      <w:r>
        <w:rPr>
          <w:b/>
          <w:i w:val="0"/>
          <w:smallCaps w:val="0"/>
          <w:strike w:val="0"/>
          <w:sz w:val="24"/>
          <w:highlight w:val="cyan"/>
          <w:u w:val="single"/>
        </w:rPr>
        <w:t>strength</w:t>
      </w:r>
      <w:r>
        <w:rPr>
          <w:b/>
          <w:i w:val="0"/>
          <w:smallCaps w:val="0"/>
          <w:strike w:val="0"/>
          <w:sz w:val="24"/>
          <w:highlight w:val="cyan"/>
          <w:u w:val="single"/>
        </w:rPr>
        <w:t xml:space="preserve"> of</w:t>
      </w:r>
      <w:r>
        <w:rPr>
          <w:b/>
          <w:i w:val="0"/>
          <w:smallCaps w:val="0"/>
          <w:strike w:val="0"/>
          <w:sz w:val="24"/>
          <w:u w:val="single"/>
        </w:rPr>
        <w:t xml:space="preserve"> the </w:t>
      </w:r>
      <w:r>
        <w:rPr>
          <w:b/>
          <w:i w:val="0"/>
          <w:smallCaps w:val="0"/>
          <w:strike w:val="0"/>
          <w:sz w:val="24"/>
          <w:highlight w:val="cyan"/>
          <w:u w:val="single"/>
        </w:rPr>
        <w:t>i</w:t>
      </w:r>
      <w:r>
        <w:rPr>
          <w:b/>
          <w:i w:val="0"/>
          <w:smallCaps w:val="0"/>
          <w:strike w:val="0"/>
          <w:sz w:val="24"/>
          <w:u w:val="single"/>
        </w:rPr>
        <w:t xml:space="preserve">ntellectual </w:t>
      </w:r>
      <w:r>
        <w:rPr>
          <w:b/>
          <w:i w:val="0"/>
          <w:smallCaps w:val="0"/>
          <w:strike w:val="0"/>
          <w:sz w:val="24"/>
          <w:highlight w:val="cyan"/>
          <w:u w:val="single"/>
        </w:rPr>
        <w:t>p</w:t>
      </w:r>
      <w:r>
        <w:rPr>
          <w:b/>
          <w:i w:val="0"/>
          <w:smallCaps w:val="0"/>
          <w:strike w:val="0"/>
          <w:sz w:val="24"/>
          <w:u w:val="single"/>
        </w:rPr>
        <w:t xml:space="preserve">roperty </w:t>
      </w:r>
      <w:r>
        <w:rPr>
          <w:b/>
          <w:i w:val="0"/>
          <w:smallCaps w:val="0"/>
          <w:strike w:val="0"/>
          <w:sz w:val="24"/>
          <w:highlight w:val="cyan"/>
          <w:u w:val="single"/>
        </w:rPr>
        <w:t>r</w:t>
      </w:r>
      <w:r>
        <w:rPr>
          <w:b/>
          <w:i w:val="0"/>
          <w:smallCaps w:val="0"/>
          <w:strike w:val="0"/>
          <w:sz w:val="24"/>
          <w:u w:val="single"/>
        </w:rPr>
        <w:t xml:space="preserve">egime </w:t>
      </w:r>
      <w:r>
        <w:rPr>
          <w:b/>
          <w:i w:val="0"/>
          <w:smallCaps w:val="0"/>
          <w:strike w:val="0"/>
          <w:sz w:val="24"/>
          <w:highlight w:val="cyan"/>
          <w:u w:val="single"/>
        </w:rPr>
        <w:t>rely solely on the Ginarte</w:t>
      </w:r>
      <w:r>
        <w:rPr>
          <w:b/>
          <w:i w:val="0"/>
          <w:smallCaps w:val="0"/>
          <w:strike w:val="0"/>
          <w:sz w:val="24"/>
          <w:u w:val="single"/>
        </w:rPr>
        <w:t>-</w:t>
      </w:r>
      <w:r>
        <w:rPr>
          <w:b/>
          <w:i w:val="0"/>
          <w:smallCaps w:val="0"/>
          <w:strike w:val="0"/>
          <w:sz w:val="24"/>
          <w:highlight w:val="cyan"/>
          <w:u w:val="single"/>
        </w:rPr>
        <w:t>Park</w:t>
      </w:r>
      <w:r>
        <w:rPr>
          <w:b/>
          <w:i w:val="0"/>
          <w:smallCaps w:val="0"/>
          <w:strike w:val="0"/>
          <w:sz w:val="24"/>
          <w:u w:val="single"/>
        </w:rPr>
        <w:t xml:space="preserve"> Index. </w:t>
      </w:r>
      <w:r>
        <w:rPr>
          <w:b/>
          <w:i w:val="0"/>
          <w:smallCaps w:val="0"/>
          <w:strike w:val="0"/>
          <w:sz w:val="24"/>
          <w:highlight w:val="cyan"/>
          <w:u w:val="single"/>
        </w:rPr>
        <w:t xml:space="preserve">This measure has often been </w:t>
      </w:r>
      <w:r>
        <w:rPr>
          <w:b/>
          <w:i w:val="0"/>
          <w:smallCaps w:val="0"/>
          <w:strike w:val="0"/>
          <w:sz w:val="24"/>
          <w:highlight w:val="cyan"/>
          <w:u w:val="single"/>
        </w:rPr>
        <w:t>criticized</w:t>
      </w:r>
      <w:r>
        <w:rPr>
          <w:b/>
          <w:i w:val="0"/>
          <w:smallCaps w:val="0"/>
          <w:strike w:val="0"/>
          <w:sz w:val="24"/>
          <w:highlight w:val="cyan"/>
          <w:u w:val="single"/>
        </w:rPr>
        <w:t xml:space="preserve"> as it only takes</w:t>
      </w:r>
      <w:r>
        <w:rPr>
          <w:b w:val="0"/>
          <w:i w:val="0"/>
          <w:smallCaps w:val="0"/>
          <w:strike w:val="0"/>
          <w:sz w:val="16"/>
          <w:highlight w:val="cyan"/>
          <w:u w:val="none"/>
        </w:rPr>
        <w:t xml:space="preserve"> </w:t>
      </w:r>
      <w:r>
        <w:rPr>
          <w:b/>
          <w:i w:val="0"/>
          <w:smallCaps w:val="0"/>
          <w:strike w:val="0"/>
          <w:sz w:val="24"/>
          <w:highlight w:val="cyan"/>
          <w:u w:val="single"/>
        </w:rPr>
        <w:t xml:space="preserve">the enforcement of patent rights </w:t>
      </w:r>
      <w:r>
        <w:rPr>
          <w:b/>
          <w:i w:val="0"/>
          <w:smallCaps w:val="0"/>
          <w:strike w:val="0"/>
          <w:sz w:val="24"/>
          <w:highlight w:val="cyan"/>
          <w:u w:val="single"/>
        </w:rPr>
        <w:t>represented in law texts</w:t>
      </w:r>
      <w:r>
        <w:rPr>
          <w:b/>
          <w:i w:val="0"/>
          <w:smallCaps w:val="0"/>
          <w:strike w:val="0"/>
          <w:sz w:val="24"/>
          <w:u w:val="single"/>
        </w:rPr>
        <w:t xml:space="preserve"> into account</w:t>
      </w:r>
      <w:r>
        <w:rPr>
          <w:b w:val="0"/>
          <w:i w:val="0"/>
          <w:smallCaps w:val="0"/>
          <w:strike w:val="0"/>
          <w:sz w:val="16"/>
          <w:u w:val="none"/>
        </w:rPr>
        <w:t xml:space="preserve">, i.e. </w:t>
      </w:r>
      <w:r>
        <w:rPr>
          <w:b/>
          <w:i w:val="0"/>
          <w:smallCaps w:val="0"/>
          <w:strike w:val="0"/>
          <w:sz w:val="24"/>
          <w:highlight w:val="cyan"/>
          <w:u w:val="single"/>
        </w:rPr>
        <w:t>these</w:t>
      </w:r>
      <w:r>
        <w:rPr>
          <w:b/>
          <w:i w:val="0"/>
          <w:smallCaps w:val="0"/>
          <w:strike w:val="0"/>
          <w:sz w:val="24"/>
          <w:u w:val="single"/>
        </w:rPr>
        <w:t xml:space="preserve"> ‘book’ measures may </w:t>
      </w:r>
      <w:r>
        <w:rPr>
          <w:b/>
          <w:i w:val="0"/>
          <w:smallCaps w:val="0"/>
          <w:strike w:val="0"/>
          <w:sz w:val="24"/>
          <w:highlight w:val="cyan"/>
          <w:u w:val="single"/>
        </w:rPr>
        <w:t>hardly represent</w:t>
      </w:r>
      <w:r>
        <w:rPr>
          <w:b/>
          <w:i w:val="0"/>
          <w:smallCaps w:val="0"/>
          <w:strike w:val="0"/>
          <w:sz w:val="24"/>
          <w:highlight w:val="cyan"/>
          <w:u w:val="single"/>
        </w:rPr>
        <w:t xml:space="preserve"> the extent to which patents </w:t>
      </w:r>
      <w:r>
        <w:rPr>
          <w:b/>
          <w:i w:val="0"/>
          <w:smallCaps w:val="0"/>
          <w:strike w:val="0"/>
          <w:sz w:val="24"/>
          <w:highlight w:val="cyan"/>
          <w:u w:val="single"/>
        </w:rPr>
        <w:t xml:space="preserve">are </w:t>
      </w:r>
      <w:r>
        <w:rPr>
          <w:b/>
          <w:i w:val="0"/>
          <w:smallCaps w:val="0"/>
          <w:strike w:val="0"/>
          <w:sz w:val="24"/>
          <w:highlight w:val="cyan"/>
          <w:u w:val="single"/>
        </w:rPr>
        <w:t>actually enforced</w:t>
      </w:r>
      <w:r>
        <w:rPr>
          <w:b w:val="0"/>
          <w:i w:val="0"/>
          <w:smallCaps w:val="0"/>
          <w:strike w:val="0"/>
          <w:sz w:val="16"/>
          <w:u w:val="none"/>
        </w:rPr>
        <w:t xml:space="preserve"> (</w:t>
      </w:r>
      <w:r>
        <w:rPr>
          <w:b w:val="0"/>
          <w:i w:val="0"/>
          <w:smallCaps w:val="0"/>
          <w:strike w:val="0"/>
          <w:sz w:val="16"/>
          <w:u w:val="none"/>
        </w:rPr>
        <w:t>Maskus</w:t>
      </w:r>
      <w:r>
        <w:rPr>
          <w:b w:val="0"/>
          <w:i w:val="0"/>
          <w:smallCaps w:val="0"/>
          <w:strike w:val="0"/>
          <w:sz w:val="16"/>
          <w:u w:val="none"/>
        </w:rPr>
        <w:t xml:space="preserve">, 2000, </w:t>
      </w:r>
      <w:r>
        <w:rPr>
          <w:b w:val="0"/>
          <w:i w:val="0"/>
          <w:smallCaps w:val="0"/>
          <w:strike w:val="0"/>
          <w:sz w:val="16"/>
          <w:u w:val="none"/>
        </w:rPr>
        <w:t>Javorcik</w:t>
      </w:r>
      <w:r>
        <w:rPr>
          <w:b w:val="0"/>
          <w:i w:val="0"/>
          <w:smallCaps w:val="0"/>
          <w:strike w:val="0"/>
          <w:sz w:val="16"/>
          <w:u w:val="none"/>
        </w:rPr>
        <w:t>, 2004). By encompassing and extending the Ginarte-Park Index, the IPR index of the Property Rights Alliance provides a more objective and complete view on the strength of a particular IPR regime. While it is still an approximation of the effective IPR enforcement, it is arguably one of the best available measures directly related to IP. Other available measures of law enforcement, e.g. contract enforcement, are often only weakly related to IP enforcement.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