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Taylor Wessing is an unverifiable survey.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Cohen </w:t>
      </w:r>
      <w:r>
        <w:rPr>
          <w:b w:val="0"/>
          <w:i w:val="0"/>
          <w:smallCaps w:val="0"/>
          <w:strike w:val="0"/>
          <w:sz w:val="26"/>
          <w:u w:val="none"/>
        </w:rPr>
        <w:t>et al.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’22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</w:t>
      </w:r>
      <w:r>
        <w:rPr>
          <w:b w:val="0"/>
          <w:i w:val="0"/>
          <w:smallCaps w:val="0"/>
          <w:strike w:val="0"/>
          <w:sz w:val="20"/>
          <w:u w:val="none"/>
        </w:rPr>
        <w:t>Mark, Ani Harutyunyan, and Matthew Chervenak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2022; Senior Fellow at Berkeley Center of Law and Technology and Director of BCLT’s Asia IP Project, with over 30 years’ experience as a law firm attorney, in-house counsel, government official, and adjunct and visiting professor of law, and was previously Senior Counsel and Senior Advisor to the Undersecretary of Commerce/ Director of the USPTO; Edison Innovation Law and Policy Fellow at George Mason University, Antonin Scalia Law School, holds PhD in Economics and published in a variety of peer-reviewed scientific journals; entrepreneur and investor in data, healthcare, real estate, and public policy, founder and President of the </w:t>
      </w:r>
      <w:r>
        <w:rPr>
          <w:b w:val="0"/>
          <w:i w:val="0"/>
          <w:smallCaps w:val="0"/>
          <w:strike w:val="0"/>
          <w:sz w:val="20"/>
          <w:u w:val="none"/>
        </w:rPr>
        <w:t>Sunwater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Institute; </w:t>
      </w:r>
      <w:r>
        <w:rPr>
          <w:b w:val="0"/>
          <w:i w:val="0"/>
          <w:smallCaps w:val="0"/>
          <w:strike w:val="0"/>
          <w:sz w:val="20"/>
          <w:u w:val="none"/>
        </w:rPr>
        <w:t>Sunwater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Institute, a nonprofit, nonpartisan interdisciplinary think tank, “Measuring Intellectual Property Rights: Existing Indices, Addressing Gaps and Suggestions for Policymakers,” North Bethesda, MD: </w:t>
      </w:r>
      <w:r>
        <w:rPr>
          <w:b w:val="0"/>
          <w:i w:val="0"/>
          <w:smallCaps w:val="0"/>
          <w:strike w:val="0"/>
          <w:sz w:val="20"/>
          <w:u w:val="none"/>
        </w:rPr>
        <w:t>Sunwater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Institute]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Another measurement concern is the replicability of the indices. The results of the study conducted by </w:t>
      </w:r>
      <w:r>
        <w:rPr>
          <w:b/>
          <w:i w:val="0"/>
          <w:smallCaps w:val="0"/>
          <w:strike w:val="0"/>
          <w:sz w:val="24"/>
          <w:u w:val="single"/>
        </w:rPr>
        <w:t>Taylor Wessing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LLP </w:t>
      </w:r>
      <w:r>
        <w:rPr>
          <w:b/>
          <w:i w:val="0"/>
          <w:smallCaps w:val="0"/>
          <w:strike w:val="0"/>
          <w:sz w:val="24"/>
          <w:u w:val="single"/>
        </w:rPr>
        <w:t xml:space="preserve">are partly based on a </w:t>
      </w:r>
      <w:r>
        <w:rPr>
          <w:b/>
          <w:i w:val="0"/>
          <w:smallCaps w:val="0"/>
          <w:strike w:val="0"/>
          <w:sz w:val="24"/>
          <w:u w:val="single"/>
        </w:rPr>
        <w:t>worldwide survey</w:t>
      </w:r>
      <w:r>
        <w:rPr>
          <w:b/>
          <w:i w:val="0"/>
          <w:smallCaps w:val="0"/>
          <w:strike w:val="0"/>
          <w:sz w:val="24"/>
          <w:u w:val="single"/>
        </w:rPr>
        <w:t xml:space="preserve"> of assessments given by IP owners and users, and it is </w:t>
      </w:r>
      <w:r>
        <w:rPr>
          <w:b/>
          <w:i w:val="0"/>
          <w:smallCaps w:val="0"/>
          <w:strike w:val="0"/>
          <w:sz w:val="24"/>
          <w:u w:val="single"/>
        </w:rPr>
        <w:t>unclear</w:t>
      </w:r>
      <w:r>
        <w:rPr>
          <w:b/>
          <w:i w:val="0"/>
          <w:smallCaps w:val="0"/>
          <w:strike w:val="0"/>
          <w:sz w:val="24"/>
          <w:u w:val="single"/>
        </w:rPr>
        <w:t xml:space="preserve"> how the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raw </w:t>
      </w:r>
      <w:r>
        <w:rPr>
          <w:b/>
          <w:i w:val="0"/>
          <w:smallCaps w:val="0"/>
          <w:strike w:val="0"/>
          <w:sz w:val="24"/>
          <w:u w:val="single"/>
        </w:rPr>
        <w:t xml:space="preserve">data </w:t>
      </w:r>
      <w:r>
        <w:rPr>
          <w:b/>
          <w:i w:val="0"/>
          <w:smallCaps w:val="0"/>
          <w:strike w:val="0"/>
          <w:sz w:val="24"/>
          <w:u w:val="single"/>
        </w:rPr>
        <w:t>were</w:t>
      </w:r>
      <w:r>
        <w:rPr>
          <w:b/>
          <w:i w:val="0"/>
          <w:smallCaps w:val="0"/>
          <w:strike w:val="0"/>
          <w:sz w:val="24"/>
          <w:u w:val="single"/>
        </w:rPr>
        <w:t xml:space="preserve"> reduced to specific ratings.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study for the IIPI is conducted by Pugatch </w:t>
      </w:r>
      <w:r>
        <w:rPr>
          <w:b w:val="0"/>
          <w:i w:val="0"/>
          <w:smallCaps w:val="0"/>
          <w:strike w:val="0"/>
          <w:sz w:val="20"/>
          <w:u w:val="none"/>
        </w:rPr>
        <w:t>Consilium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consultancy, which provides in-depth explanations of the scoring methodology for each indicator used in the study. Although most of the indicators can be easily duplicated based on the described methodology, </w:t>
      </w:r>
      <w:r>
        <w:rPr>
          <w:b/>
          <w:i w:val="0"/>
          <w:smallCaps w:val="0"/>
          <w:strike w:val="0"/>
          <w:sz w:val="24"/>
          <w:u w:val="single"/>
        </w:rPr>
        <w:t>some of the indicators are measured based on the author’s expertise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hence </w:t>
      </w:r>
      <w:r>
        <w:rPr>
          <w:b/>
          <w:i w:val="0"/>
          <w:smallCaps w:val="0"/>
          <w:strike w:val="0"/>
          <w:sz w:val="24"/>
          <w:u w:val="single"/>
        </w:rPr>
        <w:t>the ability to replicate those results without that vast experience is limited</w:t>
      </w:r>
      <w:r>
        <w:rPr>
          <w:b w:val="0"/>
          <w:i w:val="0"/>
          <w:smallCaps w:val="0"/>
          <w:strike w:val="0"/>
          <w:sz w:val="20"/>
          <w:u w:val="none"/>
        </w:rPr>
        <w:t>. The replications of the IPR and the PEI are relatively straightforward due to the limited number of indicators included in the measurements and the simplicity of the scoring methods.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