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Reducing uncertainty about future exceptions strengthens IPR protection. Prefer definitions from </w:t>
      </w:r>
      <w:r>
        <w:rPr>
          <w:b/>
          <w:i w:val="0"/>
          <w:smallCaps w:val="0"/>
          <w:strike w:val="0"/>
          <w:sz w:val="26"/>
          <w:u w:val="single"/>
        </w:rPr>
        <w:t>comprehensive</w:t>
      </w:r>
      <w:r>
        <w:rPr>
          <w:b/>
          <w:i w:val="0"/>
          <w:smallCaps w:val="0"/>
          <w:strike w:val="0"/>
          <w:sz w:val="26"/>
          <w:u w:val="none"/>
        </w:rPr>
        <w:t xml:space="preserve"> IP indexes.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Palmedo</w:t>
      </w:r>
      <w:r>
        <w:rPr>
          <w:b/>
          <w:i w:val="0"/>
          <w:smallCaps w:val="0"/>
          <w:strike w:val="0"/>
          <w:sz w:val="26"/>
          <w:u w:val="none"/>
        </w:rPr>
        <w:t xml:space="preserve"> ’14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[Mike; January 31; Lecturer at American University College of Law; </w:t>
      </w:r>
      <w:r>
        <w:rPr>
          <w:b w:val="0"/>
          <w:i w:val="0"/>
          <w:smallCaps w:val="0"/>
          <w:strike w:val="0"/>
          <w:sz w:val="20"/>
          <w:u w:val="none"/>
        </w:rPr>
        <w:t>InfoJustice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“U.S. Chamber of Commerce Global IP Index measures law and practice in 25 countries – what determines the </w:t>
      </w:r>
      <w:r>
        <w:rPr>
          <w:b w:val="0"/>
          <w:i w:val="0"/>
          <w:smallCaps w:val="0"/>
          <w:strike w:val="0"/>
          <w:sz w:val="20"/>
          <w:u w:val="none"/>
        </w:rPr>
        <w:t>scores?,</w:t>
      </w:r>
      <w:r>
        <w:rPr>
          <w:b w:val="0"/>
          <w:i w:val="0"/>
          <w:smallCaps w:val="0"/>
          <w:strike w:val="0"/>
          <w:sz w:val="20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0"/>
          <w:u w:val="none"/>
        </w:rPr>
        <w:t>https://infojustice.org/archives/32073</w:t>
      </w:r>
      <w:r>
        <w:rPr>
          <w:b w:val="0"/>
          <w:i w:val="0"/>
          <w:smallCaps w:val="0"/>
          <w:strike w:val="0"/>
          <w:sz w:val="20"/>
          <w:u w:val="none"/>
        </w:rPr>
        <w:t>]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 xml:space="preserve">Earlier this week, the </w:t>
      </w:r>
      <w:r>
        <w:rPr>
          <w:b/>
          <w:i w:val="0"/>
          <w:smallCaps w:val="0"/>
          <w:strike w:val="0"/>
          <w:sz w:val="24"/>
          <w:u w:val="single"/>
        </w:rPr>
        <w:t>U.S. Chamber of Commerce</w:t>
      </w:r>
      <w:r>
        <w:rPr>
          <w:b/>
          <w:i w:val="0"/>
          <w:smallCaps w:val="0"/>
          <w:strike w:val="0"/>
          <w:sz w:val="24"/>
          <w:u w:val="single"/>
        </w:rPr>
        <w:t xml:space="preserve"> released the second edition of its Global Intellectual </w:t>
      </w:r>
      <w:r>
        <w:rPr>
          <w:b/>
          <w:i w:val="0"/>
          <w:smallCaps w:val="0"/>
          <w:strike w:val="0"/>
          <w:sz w:val="24"/>
          <w:u w:val="single"/>
        </w:rPr>
        <w:t>Property Index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 report </w:t>
      </w:r>
      <w:r>
        <w:rPr>
          <w:b/>
          <w:i w:val="0"/>
          <w:smallCaps w:val="0"/>
          <w:strike w:val="0"/>
          <w:sz w:val="24"/>
          <w:u w:val="single"/>
        </w:rPr>
        <w:t xml:space="preserve">which grades countries on the </w:t>
      </w:r>
      <w:r>
        <w:rPr>
          <w:b/>
          <w:i w:val="0"/>
          <w:smallCaps w:val="0"/>
          <w:strike w:val="0"/>
          <w:sz w:val="24"/>
          <w:u w:val="single"/>
        </w:rPr>
        <w:t>strength</w:t>
      </w:r>
      <w:r>
        <w:rPr>
          <w:b/>
          <w:i w:val="0"/>
          <w:smallCaps w:val="0"/>
          <w:strike w:val="0"/>
          <w:sz w:val="24"/>
          <w:u w:val="single"/>
        </w:rPr>
        <w:t xml:space="preserve"> of their </w:t>
      </w:r>
      <w:r>
        <w:rPr>
          <w:b/>
          <w:i w:val="0"/>
          <w:smallCaps w:val="0"/>
          <w:strike w:val="0"/>
          <w:sz w:val="24"/>
          <w:u w:val="single"/>
        </w:rPr>
        <w:t>IP protection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year’s index covers 25 countries, including </w:t>
      </w:r>
      <w:r>
        <w:rPr>
          <w:b w:val="0"/>
          <w:i w:val="0"/>
          <w:smallCaps w:val="0"/>
          <w:strike w:val="0"/>
          <w:sz w:val="16"/>
          <w:u w:val="none"/>
        </w:rPr>
        <w:t>all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BRICS and most of the countries in the TPP negotiations. </w:t>
      </w:r>
      <w:r>
        <w:rPr>
          <w:b/>
          <w:i w:val="0"/>
          <w:smallCaps w:val="0"/>
          <w:strike w:val="0"/>
          <w:sz w:val="24"/>
          <w:u w:val="single"/>
        </w:rPr>
        <w:t>Countries are evaluated among 30 individual factors</w:t>
      </w:r>
      <w:r>
        <w:rPr>
          <w:b w:val="0"/>
          <w:i w:val="0"/>
          <w:smallCaps w:val="0"/>
          <w:strike w:val="0"/>
          <w:sz w:val="16"/>
          <w:u w:val="none"/>
        </w:rPr>
        <w:t>, which fall into one of six categories – Patents, Related Rights, and Limitations; Copyrights, Related Rights, and Limitations; Trademarks, Related Rights, and Limitations; Trade Secrets and Market Access; Enforcement; and Membership and Ratification of International Treaties.  The full index is here, and the summary is here.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Introducing the Index at the launch event, David Torstensson said that the Index includes information on both the “legal situation” and “practical realities” in different countries. </w:t>
      </w:r>
      <w:r>
        <w:rPr>
          <w:b/>
          <w:i w:val="0"/>
          <w:smallCaps w:val="0"/>
          <w:strike w:val="0"/>
          <w:sz w:val="24"/>
          <w:u w:val="single"/>
        </w:rPr>
        <w:t>The authors</w:t>
      </w:r>
      <w:r>
        <w:rPr>
          <w:b/>
          <w:i w:val="0"/>
          <w:smallCaps w:val="0"/>
          <w:strike w:val="0"/>
          <w:sz w:val="24"/>
          <w:u w:val="single"/>
        </w:rPr>
        <w:t xml:space="preserve"> based their scores on information from sources that are openly available, such as laws and regulations</w:t>
      </w:r>
      <w:r>
        <w:rPr>
          <w:b w:val="0"/>
          <w:i w:val="0"/>
          <w:smallCaps w:val="0"/>
          <w:strike w:val="0"/>
          <w:sz w:val="16"/>
          <w:u w:val="none"/>
        </w:rPr>
        <w:t>, industry documents, academic papers, and news stories. Nonetheless, there is still a fair amount of subjectivity that went into the scoring. One could argue about many of the decisions. For example: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index reports that Chile’s notice and takedown system, which require a court order for a takedown “does not meet the requirements of its FTA with the United States.” Unsurprisingly, officials from the Chilean Ministry of Foreign Relations disagree with this interpretation.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India is marked down for many items, including the strict patentability standards found in Section 3(d) of </w:t>
      </w:r>
      <w:r>
        <w:rPr>
          <w:b w:val="0"/>
          <w:i w:val="0"/>
          <w:smallCaps w:val="0"/>
          <w:strike w:val="0"/>
          <w:sz w:val="16"/>
          <w:u w:val="none"/>
        </w:rPr>
        <w:t>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patent law, which the report says it out of compliance with its WTO obligations. Other legal experts do not agree.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The U.S.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is marked down in the </w:t>
      </w:r>
      <w:r>
        <w:rPr>
          <w:b/>
          <w:i w:val="0"/>
          <w:smallCaps w:val="0"/>
          <w:strike w:val="0"/>
          <w:sz w:val="24"/>
          <w:u w:val="single"/>
        </w:rPr>
        <w:t>copyright limitations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and </w:t>
      </w:r>
      <w:r>
        <w:rPr>
          <w:b/>
          <w:i w:val="0"/>
          <w:smallCaps w:val="0"/>
          <w:strike w:val="0"/>
          <w:sz w:val="24"/>
          <w:u w:val="single"/>
        </w:rPr>
        <w:t>exceptions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section of the index, not due to anything that </w:t>
      </w:r>
      <w:r>
        <w:rPr>
          <w:b/>
          <w:i w:val="0"/>
          <w:smallCaps w:val="0"/>
          <w:strike w:val="0"/>
          <w:sz w:val="24"/>
          <w:u w:val="single"/>
        </w:rPr>
        <w:t>currently exists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law or practice, but due to </w:t>
      </w:r>
      <w:r>
        <w:rPr>
          <w:b/>
          <w:i w:val="0"/>
          <w:smallCaps w:val="0"/>
          <w:strike w:val="0"/>
          <w:sz w:val="24"/>
          <w:u w:val="single"/>
        </w:rPr>
        <w:t>uncertainty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about the </w:t>
      </w:r>
      <w:r>
        <w:rPr>
          <w:b/>
          <w:i w:val="0"/>
          <w:smallCaps w:val="0"/>
          <w:strike w:val="0"/>
          <w:sz w:val="24"/>
          <w:u w:val="single"/>
        </w:rPr>
        <w:t>future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instance, the report notes that “in Authors Guild v. Google, Inc., the </w:t>
      </w:r>
      <w:r>
        <w:rPr>
          <w:b/>
          <w:i w:val="0"/>
          <w:smallCaps w:val="0"/>
          <w:strike w:val="0"/>
          <w:sz w:val="24"/>
          <w:u w:val="single"/>
        </w:rPr>
        <w:t>fair use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principle in the distribution of e-books </w:t>
      </w:r>
      <w:r>
        <w:rPr>
          <w:b/>
          <w:i w:val="0"/>
          <w:smallCaps w:val="0"/>
          <w:strike w:val="0"/>
          <w:sz w:val="24"/>
          <w:u w:val="single"/>
        </w:rPr>
        <w:t>is still being considered by a district court.”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The U.S. is also marked down in this section because “changes that could adversely affect rights holders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such as a ‘digital first sale’ doctrine, </w:t>
      </w:r>
      <w:r>
        <w:rPr>
          <w:b/>
          <w:i w:val="0"/>
          <w:smallCaps w:val="0"/>
          <w:strike w:val="0"/>
          <w:sz w:val="24"/>
          <w:u w:val="single"/>
        </w:rPr>
        <w:t>have been sought” as part of copyright reform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