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Enforcement is a </w:t>
      </w:r>
      <w:r>
        <w:rPr>
          <w:b/>
          <w:i w:val="0"/>
          <w:smallCaps w:val="0"/>
          <w:strike w:val="0"/>
          <w:sz w:val="26"/>
          <w:u w:val="single"/>
        </w:rPr>
        <w:t>variant</w:t>
      </w:r>
      <w:r>
        <w:rPr>
          <w:b/>
          <w:i w:val="0"/>
          <w:smallCaps w:val="0"/>
          <w:strike w:val="0"/>
          <w:sz w:val="26"/>
          <w:u w:val="none"/>
        </w:rPr>
        <w:t xml:space="preserve"> of protection, even if it’s not represented in the </w:t>
      </w:r>
      <w:r>
        <w:rPr>
          <w:b/>
          <w:i w:val="0"/>
          <w:smallCaps w:val="0"/>
          <w:strike w:val="0"/>
          <w:sz w:val="26"/>
          <w:u w:val="none"/>
        </w:rPr>
        <w:t>Park</w:t>
      </w:r>
      <w:r>
        <w:rPr>
          <w:b/>
          <w:i w:val="0"/>
          <w:smallCaps w:val="0"/>
          <w:strike w:val="0"/>
          <w:sz w:val="26"/>
          <w:u w:val="none"/>
        </w:rPr>
        <w:t xml:space="preserve"> index.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Lesser ’11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[Wiliam; 2011; </w:t>
      </w:r>
      <w:r>
        <w:rPr>
          <w:b w:val="0"/>
          <w:i w:val="0"/>
          <w:smallCaps w:val="0"/>
          <w:strike w:val="0"/>
          <w:sz w:val="20"/>
          <w:u w:val="none"/>
        </w:rPr>
        <w:t>Susan E. Lynch Professor in Science and Business, Dyson School of Applied Economics and Management, Cornell University</w:t>
      </w:r>
      <w:r>
        <w:rPr>
          <w:b w:val="0"/>
          <w:i w:val="0"/>
          <w:smallCaps w:val="0"/>
          <w:strike w:val="0"/>
          <w:sz w:val="20"/>
          <w:u w:val="none"/>
        </w:rPr>
        <w:t>; Journal of Business, Entrepreneurship and the Law, “</w:t>
      </w:r>
      <w:r>
        <w:rPr>
          <w:b w:val="0"/>
          <w:i w:val="0"/>
          <w:smallCaps w:val="0"/>
          <w:strike w:val="0"/>
          <w:sz w:val="20"/>
          <w:u w:val="none"/>
        </w:rPr>
        <w:t>Measuring Intellectual Property 'Strength' and Effects: An Assessment of Patent Scoring Systems and Causality,</w:t>
      </w:r>
      <w:r>
        <w:rPr>
          <w:b w:val="0"/>
          <w:i w:val="0"/>
          <w:smallCaps w:val="0"/>
          <w:strike w:val="0"/>
          <w:sz w:val="20"/>
          <w:u w:val="none"/>
        </w:rPr>
        <w:t>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4 J. Bus. Entrepreneurship &amp; L. </w:t>
      </w:r>
      <w:r>
        <w:rPr>
          <w:b w:val="0"/>
          <w:i w:val="0"/>
          <w:smallCaps w:val="0"/>
          <w:strike w:val="0"/>
          <w:sz w:val="20"/>
          <w:u w:val="none"/>
        </w:rPr>
        <w:t>Iss</w:t>
      </w:r>
      <w:r>
        <w:rPr>
          <w:b w:val="0"/>
          <w:i w:val="0"/>
          <w:smallCaps w:val="0"/>
          <w:strike w:val="0"/>
          <w:sz w:val="20"/>
          <w:u w:val="none"/>
        </w:rPr>
        <w:t>. 2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Lesser39 </w:t>
      </w:r>
      <w:r>
        <w:rPr>
          <w:b/>
          <w:i w:val="0"/>
          <w:smallCaps w:val="0"/>
          <w:strike w:val="0"/>
          <w:sz w:val="24"/>
          <w:u w:val="single"/>
        </w:rPr>
        <w:t>in constructing a new scoring system to reflect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patent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post-TRIPS era noted prior scores typically have in common the following components: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4"/>
          <w:u w:val="single"/>
        </w:rPr>
        <w:t>protectable subject matter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4"/>
          <w:u w:val="single"/>
        </w:rPr>
        <w:t>convention membership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4"/>
          <w:u w:val="single"/>
        </w:rPr>
        <w:t>enforcement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4"/>
          <w:u w:val="single"/>
        </w:rPr>
        <w:t>administration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• </w:t>
      </w:r>
      <w:r>
        <w:rPr>
          <w:b/>
          <w:i w:val="0"/>
          <w:smallCaps w:val="0"/>
          <w:strike w:val="0"/>
          <w:sz w:val="24"/>
          <w:u w:val="single"/>
        </w:rPr>
        <w:t>duration of protection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Harmonization under TRIPS simplifies some inputs into the index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TRIPS40 sets the duration of patent protection at twenty years from first application so that an indication of TRIPS compliance by a country captures the duration factor as well as serving as a proxy for protectable subject matter. However, </w:t>
      </w:r>
      <w:r>
        <w:rPr>
          <w:b/>
          <w:i w:val="0"/>
          <w:smallCaps w:val="0"/>
          <w:strike w:val="0"/>
          <w:sz w:val="24"/>
          <w:u w:val="single"/>
        </w:rPr>
        <w:t>as countries have the option of protecting plants with patents or an ‘effective sui generis system,’ or both,</w:t>
      </w:r>
      <w:r>
        <w:rPr>
          <w:b w:val="0"/>
          <w:i w:val="0"/>
          <w:smallCaps w:val="0"/>
          <w:strike w:val="0"/>
          <w:sz w:val="20"/>
          <w:u w:val="none"/>
        </w:rPr>
        <w:t>41</w:t>
      </w:r>
      <w:r>
        <w:rPr>
          <w:b/>
          <w:i w:val="0"/>
          <w:smallCaps w:val="0"/>
          <w:strike w:val="0"/>
          <w:sz w:val="24"/>
          <w:u w:val="single"/>
        </w:rPr>
        <w:t xml:space="preserve"> it is important to identify the choice made.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Most countries are opting for Plant Breeders’ Rights rather than patents for plants for which membership in UPOV, the international convention, is a strong indicator if not actually required. India for example has a Protection of Plant Varieties and Farmers’ Rights Act of 200142 but is not a member of UPOV.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Additional and more current information on enforcement issues was needed so a </w:t>
      </w:r>
      <w:r>
        <w:rPr>
          <w:b/>
          <w:i w:val="0"/>
          <w:smallCaps w:val="0"/>
          <w:strike w:val="0"/>
          <w:sz w:val="24"/>
          <w:u w:val="single"/>
        </w:rPr>
        <w:t>practitioners</w:t>
      </w:r>
      <w:r>
        <w:rPr>
          <w:b/>
          <w:i w:val="0"/>
          <w:smallCaps w:val="0"/>
          <w:strike w:val="0"/>
          <w:sz w:val="24"/>
          <w:u w:val="single"/>
        </w:rPr>
        <w:t xml:space="preserve"> survey was developed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survey was sent to patent attorneys and licensing executives of biotechnology firms in the U.S. and Europe following an extensive period of instrument development and in-person interviews. Public sector licensing officers were contacted as well. In total, seventeen surveys and interviews were distributed with a response rate of fifty-nine percent. Biotechnology firms (pharmaceutical and agricultural) are an appropriate response group because the </w:t>
      </w:r>
      <w:r>
        <w:rPr>
          <w:b/>
          <w:i w:val="0"/>
          <w:smallCaps w:val="0"/>
          <w:strike w:val="0"/>
          <w:sz w:val="24"/>
          <w:u w:val="single"/>
        </w:rPr>
        <w:t>importance</w:t>
      </w:r>
      <w:r>
        <w:rPr>
          <w:b/>
          <w:i w:val="0"/>
          <w:smallCaps w:val="0"/>
          <w:strike w:val="0"/>
          <w:sz w:val="24"/>
          <w:u w:val="single"/>
        </w:rPr>
        <w:t xml:space="preserve"> of IPR </w:t>
      </w:r>
      <w:r>
        <w:rPr>
          <w:b/>
          <w:i w:val="0"/>
          <w:smallCaps w:val="0"/>
          <w:strike w:val="0"/>
          <w:sz w:val="24"/>
          <w:u w:val="single"/>
        </w:rPr>
        <w:t>protection</w:t>
      </w:r>
      <w:r>
        <w:rPr>
          <w:b/>
          <w:i w:val="0"/>
          <w:smallCaps w:val="0"/>
          <w:strike w:val="0"/>
          <w:sz w:val="24"/>
          <w:u w:val="single"/>
        </w:rPr>
        <w:t xml:space="preserve"> to that sector means a high level of awareness of technology transfer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survey results emphasized how important a factor the enforceability of IP statutes is in a country. </w:t>
      </w:r>
      <w:r>
        <w:rPr>
          <w:b/>
          <w:i w:val="0"/>
          <w:smallCaps w:val="0"/>
          <w:strike w:val="0"/>
          <w:sz w:val="24"/>
          <w:u w:val="single"/>
        </w:rPr>
        <w:t>Slowness of a national court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poor standing of a foreign plaintiff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lack of </w:t>
      </w:r>
      <w:r>
        <w:rPr>
          <w:b/>
          <w:i w:val="0"/>
          <w:smallCaps w:val="0"/>
          <w:strike w:val="0"/>
          <w:sz w:val="24"/>
          <w:u w:val="single"/>
        </w:rPr>
        <w:t>technical competence</w:t>
      </w:r>
      <w:r>
        <w:rPr>
          <w:b/>
          <w:i w:val="0"/>
          <w:smallCaps w:val="0"/>
          <w:strike w:val="0"/>
          <w:sz w:val="24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inability</w:t>
      </w:r>
      <w:r>
        <w:rPr>
          <w:b/>
          <w:i w:val="0"/>
          <w:smallCaps w:val="0"/>
          <w:strike w:val="0"/>
          <w:sz w:val="24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u w:val="single"/>
        </w:rPr>
        <w:t>enforce</w:t>
      </w:r>
      <w:r>
        <w:rPr>
          <w:b/>
          <w:i w:val="0"/>
          <w:smallCaps w:val="0"/>
          <w:strike w:val="0"/>
          <w:sz w:val="24"/>
          <w:u w:val="single"/>
        </w:rPr>
        <w:t xml:space="preserve"> a judgment once made were all reasons to </w:t>
      </w:r>
      <w:r>
        <w:rPr>
          <w:b/>
          <w:i w:val="0"/>
          <w:smallCaps w:val="0"/>
          <w:strike w:val="0"/>
          <w:sz w:val="24"/>
          <w:u w:val="single"/>
        </w:rPr>
        <w:t>downgrade</w:t>
      </w:r>
      <w:r>
        <w:rPr>
          <w:b/>
          <w:i w:val="0"/>
          <w:smallCaps w:val="0"/>
          <w:strike w:val="0"/>
          <w:sz w:val="24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effectiveness of a national system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Applying factor analysis to generate weights for a </w:t>
      </w:r>
      <w:r>
        <w:rPr>
          <w:b w:val="0"/>
          <w:i w:val="0"/>
          <w:smallCaps w:val="0"/>
          <w:strike w:val="0"/>
          <w:sz w:val="16"/>
          <w:u w:val="none"/>
        </w:rPr>
        <w:t>four component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model indicated that the PCT component was redundant in the sense that it added little to the explained variance (up twenty percentage points and giving a weighting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nearly one (.997)).70 This means that for the 142 PCT members – accounting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nearly all countries in the current data set – the index is increased by one point (.997). Dropping it leaves three components with, in this case, a three-factor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model with an </w:t>
      </w:r>
      <w:r>
        <w:rPr>
          <w:b w:val="0"/>
          <w:i w:val="0"/>
          <w:smallCaps w:val="0"/>
          <w:strike w:val="0"/>
          <w:sz w:val="16"/>
          <w:u w:val="none"/>
        </w:rPr>
        <w:t>equamax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rotation.71 This provides results which could be described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terms of the expected underlying relationships as follows: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Factor 1 (35%): </w:t>
      </w:r>
      <w:r>
        <w:rPr>
          <w:b/>
          <w:i w:val="0"/>
          <w:smallCaps w:val="0"/>
          <w:strike w:val="0"/>
          <w:sz w:val="24"/>
          <w:u w:val="single"/>
        </w:rPr>
        <w:t>Scope</w:t>
      </w:r>
      <w:r>
        <w:rPr>
          <w:b w:val="0"/>
          <w:i w:val="0"/>
          <w:smallCaps w:val="0"/>
          <w:strike w:val="0"/>
          <w:sz w:val="16"/>
          <w:u w:val="none"/>
        </w:rPr>
        <w:t>, weighing most heavily on UPOV and TRIPS compliance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Factor 2 (28%): </w:t>
      </w:r>
      <w:r>
        <w:rPr>
          <w:b/>
          <w:i w:val="0"/>
          <w:smallCaps w:val="0"/>
          <w:strike w:val="0"/>
          <w:sz w:val="24"/>
          <w:u w:val="single"/>
        </w:rPr>
        <w:t>Enforcement</w:t>
      </w:r>
      <w:r>
        <w:rPr>
          <w:b w:val="0"/>
          <w:i w:val="0"/>
          <w:smallCaps w:val="0"/>
          <w:strike w:val="0"/>
          <w:sz w:val="16"/>
          <w:u w:val="none"/>
        </w:rPr>
        <w:t>, weighing most heavily on the CPI Factor 3 (27%): Institution, patent office efficiency/ sophistication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factor weights, which explain a total of ninety percent of the variance of the variables, are shown in Table 1.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aggregate factor values (communality) are used to weigh the individual index components in generating the IP score; that is, the computed communality value from Table 1 is for each country analyzed multiplied by the data value for that country. The weights have the intuitive appeal that the near-greatest </w:t>
      </w:r>
      <w:r>
        <w:rPr>
          <w:b w:val="0"/>
          <w:i w:val="0"/>
          <w:smallCaps w:val="0"/>
          <w:strike w:val="0"/>
          <w:sz w:val="16"/>
          <w:u w:val="none"/>
        </w:rPr>
        <w:t>weight  placed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CPI, a proxy for the enforceability of IPR, which the survey respondents indicated as the most significant aspect of the effectiveness of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 the national level.72 As significant is patent office efficiency/sophistication. Compared to the 2002 index, this component has become more significant, but since the variable used to measure it has changed no direct comparison can be made.73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 three factors can, alternatively, be viewed as </w:t>
      </w:r>
      <w:r>
        <w:rPr>
          <w:b/>
          <w:i w:val="0"/>
          <w:smallCaps w:val="0"/>
          <w:strike w:val="0"/>
          <w:sz w:val="24"/>
          <w:u w:val="single"/>
        </w:rPr>
        <w:t>differing approaches</w:t>
      </w:r>
      <w:r>
        <w:rPr>
          <w:b/>
          <w:i w:val="0"/>
          <w:smallCaps w:val="0"/>
          <w:strike w:val="0"/>
          <w:sz w:val="24"/>
          <w:u w:val="single"/>
        </w:rPr>
        <w:t xml:space="preserve"> to </w:t>
      </w:r>
      <w:r>
        <w:rPr>
          <w:b/>
          <w:i w:val="0"/>
          <w:smallCaps w:val="0"/>
          <w:strike w:val="0"/>
          <w:sz w:val="24"/>
          <w:u w:val="single"/>
        </w:rPr>
        <w:t>strengthening patent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Countries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(1) </w:t>
      </w:r>
      <w:r>
        <w:rPr>
          <w:b/>
          <w:i w:val="0"/>
          <w:smallCaps w:val="0"/>
          <w:strike w:val="0"/>
          <w:sz w:val="24"/>
          <w:u w:val="single"/>
        </w:rPr>
        <w:t>join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/implement </w:t>
      </w:r>
      <w:r>
        <w:rPr>
          <w:b/>
          <w:i w:val="0"/>
          <w:smallCaps w:val="0"/>
          <w:strike w:val="0"/>
          <w:sz w:val="24"/>
          <w:u w:val="single"/>
        </w:rPr>
        <w:t>international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agreement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(TRIPS, UPOV), (2) </w:t>
      </w:r>
      <w:r>
        <w:rPr>
          <w:b/>
          <w:i w:val="0"/>
          <w:smallCaps w:val="0"/>
          <w:strike w:val="0"/>
          <w:sz w:val="24"/>
          <w:u w:val="single"/>
        </w:rPr>
        <w:t xml:space="preserve">enhance the operation of their patent </w:t>
      </w:r>
      <w:r>
        <w:rPr>
          <w:b/>
          <w:i w:val="0"/>
          <w:smallCaps w:val="0"/>
          <w:strike w:val="0"/>
          <w:sz w:val="24"/>
          <w:u w:val="single"/>
        </w:rPr>
        <w:t>offices, or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(3) </w:t>
      </w:r>
      <w:r>
        <w:rPr>
          <w:b/>
          <w:i w:val="0"/>
          <w:smallCaps w:val="0"/>
          <w:strike w:val="0"/>
          <w:sz w:val="24"/>
          <w:u w:val="single"/>
        </w:rPr>
        <w:t>improve enforcement by reducing corruption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.74 </w:t>
      </w:r>
      <w:r>
        <w:rPr>
          <w:b/>
          <w:i w:val="0"/>
          <w:smallCaps w:val="0"/>
          <w:strike w:val="0"/>
          <w:sz w:val="24"/>
          <w:u w:val="single"/>
        </w:rPr>
        <w:t xml:space="preserve">The strongest rights of course are achievable only by being well established in </w:t>
      </w:r>
      <w:r>
        <w:rPr>
          <w:b/>
          <w:i w:val="0"/>
          <w:smallCaps w:val="0"/>
          <w:strike w:val="0"/>
          <w:sz w:val="24"/>
          <w:u w:val="single"/>
        </w:rPr>
        <w:t>all three dimension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not </w:t>
      </w:r>
      <w:r>
        <w:rPr>
          <w:b/>
          <w:i w:val="0"/>
          <w:smallCaps w:val="0"/>
          <w:strike w:val="0"/>
          <w:sz w:val="24"/>
          <w:u w:val="single"/>
        </w:rPr>
        <w:t>all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presently </w:t>
      </w:r>
      <w:r>
        <w:rPr>
          <w:b/>
          <w:i w:val="0"/>
          <w:smallCaps w:val="0"/>
          <w:strike w:val="0"/>
          <w:sz w:val="24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strong systems and hence have alternative </w:t>
      </w:r>
      <w:r>
        <w:rPr>
          <w:b/>
          <w:i w:val="0"/>
          <w:smallCaps w:val="0"/>
          <w:strike w:val="0"/>
          <w:sz w:val="24"/>
          <w:u w:val="single"/>
        </w:rPr>
        <w:t>paths available for strengthening them</w:t>
      </w:r>
      <w:r>
        <w:rPr>
          <w:b w:val="0"/>
          <w:i w:val="0"/>
          <w:smallCaps w:val="0"/>
          <w:strike w:val="0"/>
          <w:sz w:val="16"/>
          <w:u w:val="none"/>
        </w:rPr>
        <w:t>. For example</w:t>
      </w:r>
      <w:r>
        <w:rPr>
          <w:b/>
          <w:i w:val="0"/>
          <w:smallCaps w:val="0"/>
          <w:strike w:val="0"/>
          <w:sz w:val="24"/>
          <w:u w:val="single"/>
        </w:rPr>
        <w:t>, they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matter of degrees focus first directly on patent systems by say fully implementing TRIPS, or </w:t>
      </w:r>
      <w:r>
        <w:rPr>
          <w:b/>
          <w:i w:val="0"/>
          <w:smallCaps w:val="0"/>
          <w:strike w:val="0"/>
          <w:sz w:val="24"/>
          <w:u w:val="single"/>
        </w:rPr>
        <w:t>they may first tackle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/corruption </w:t>
      </w:r>
      <w:r>
        <w:rPr>
          <w:b/>
          <w:i w:val="0"/>
          <w:smallCaps w:val="0"/>
          <w:strike w:val="0"/>
          <w:sz w:val="24"/>
          <w:u w:val="single"/>
        </w:rPr>
        <w:t xml:space="preserve">and then shift attention to the patent </w:t>
      </w:r>
      <w:r>
        <w:rPr>
          <w:b/>
          <w:i w:val="0"/>
          <w:smallCaps w:val="0"/>
          <w:strike w:val="0"/>
          <w:sz w:val="24"/>
          <w:u w:val="single"/>
        </w:rPr>
        <w:t>system in particular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Which approaches are </w:t>
      </w:r>
      <w:r>
        <w:rPr>
          <w:b w:val="0"/>
          <w:i w:val="0"/>
          <w:smallCaps w:val="0"/>
          <w:strike w:val="0"/>
          <w:sz w:val="16"/>
          <w:u w:val="none"/>
        </w:rPr>
        <w:t>pursued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consequences are explored further in Section III.75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resulting index values, referred to here as the ‘Cortez Patent Index,’ are presented in Table 2 for 148 countries in 2009. The country selection was determined largely by data availability, but some countries in non-equilibrium states (like Afghanistan) were dropped, as were very small and fledgling states like Vanuatu.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