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Best</w:t>
      </w:r>
      <w:r>
        <w:rPr>
          <w:b/>
          <w:i w:val="0"/>
          <w:smallCaps w:val="0"/>
          <w:strike w:val="0"/>
          <w:sz w:val="26"/>
          <w:u w:val="none"/>
        </w:rPr>
        <w:t xml:space="preserve"> measures of intellectual property include laws, court decisions, and regulations, and refer to a wide range of factors that ‘strengthen’ IPR ‘protection. </w:t>
      </w:r>
    </w:p>
    <w:p>
      <w:pPr>
        <w:spacing w:after="80"/>
      </w:pPr>
      <w:r>
        <w:rPr>
          <w:b/>
          <w:i w:val="0"/>
          <w:smallCaps w:val="0"/>
          <w:strike w:val="0"/>
          <w:sz w:val="26"/>
          <w:u w:val="none"/>
        </w:rPr>
        <w:t>Palmedo</w:t>
      </w:r>
      <w:r>
        <w:rPr>
          <w:b/>
          <w:i w:val="0"/>
          <w:smallCaps w:val="0"/>
          <w:strike w:val="0"/>
          <w:sz w:val="26"/>
          <w:u w:val="none"/>
        </w:rPr>
        <w:t xml:space="preserve"> ’16</w:t>
      </w:r>
      <w:r>
        <w:rPr>
          <w:b w:val="0"/>
          <w:i w:val="0"/>
          <w:smallCaps w:val="0"/>
          <w:strike w:val="0"/>
          <w:sz w:val="20"/>
          <w:u w:val="none"/>
        </w:rPr>
        <w:t xml:space="preserve"> [Mike; June 22; Lecturer at American University College of Law; </w:t>
      </w:r>
      <w:r>
        <w:rPr>
          <w:b w:val="0"/>
          <w:i w:val="0"/>
          <w:smallCaps w:val="0"/>
          <w:strike w:val="0"/>
          <w:sz w:val="20"/>
          <w:u w:val="none"/>
        </w:rPr>
        <w:t>InfoJustice</w:t>
      </w:r>
      <w:r>
        <w:rPr>
          <w:b w:val="0"/>
          <w:i w:val="0"/>
          <w:smallCaps w:val="0"/>
          <w:strike w:val="0"/>
          <w:sz w:val="20"/>
          <w:u w:val="none"/>
        </w:rPr>
        <w:t>, “</w:t>
      </w:r>
      <w:r>
        <w:rPr>
          <w:b w:val="0"/>
          <w:i w:val="0"/>
          <w:smallCaps w:val="0"/>
          <w:strike w:val="0"/>
          <w:sz w:val="20"/>
          <w:u w:val="none"/>
        </w:rPr>
        <w:t xml:space="preserve">Taylor </w:t>
      </w:r>
      <w:r>
        <w:rPr>
          <w:b w:val="0"/>
          <w:i w:val="0"/>
          <w:smallCaps w:val="0"/>
          <w:strike w:val="0"/>
          <w:sz w:val="20"/>
          <w:u w:val="none"/>
        </w:rPr>
        <w:t>W</w:t>
      </w:r>
      <w:r>
        <w:rPr>
          <w:b w:val="0"/>
          <w:i w:val="0"/>
          <w:smallCaps w:val="0"/>
          <w:strike w:val="0"/>
          <w:sz w:val="20"/>
          <w:u w:val="none"/>
        </w:rPr>
        <w:t xml:space="preserve">essing </w:t>
      </w:r>
      <w:r>
        <w:rPr>
          <w:b w:val="0"/>
          <w:i w:val="0"/>
          <w:smallCaps w:val="0"/>
          <w:strike w:val="0"/>
          <w:sz w:val="20"/>
          <w:u w:val="none"/>
        </w:rPr>
        <w:t>I</w:t>
      </w:r>
      <w:r>
        <w:rPr>
          <w:b w:val="0"/>
          <w:i w:val="0"/>
          <w:smallCaps w:val="0"/>
          <w:strike w:val="0"/>
          <w:sz w:val="20"/>
          <w:u w:val="none"/>
        </w:rPr>
        <w:t xml:space="preserve">nternational </w:t>
      </w:r>
      <w:r>
        <w:rPr>
          <w:b w:val="0"/>
          <w:i w:val="0"/>
          <w:smallCaps w:val="0"/>
          <w:strike w:val="0"/>
          <w:sz w:val="20"/>
          <w:u w:val="none"/>
        </w:rPr>
        <w:t>IP I</w:t>
      </w:r>
      <w:r>
        <w:rPr>
          <w:b w:val="0"/>
          <w:i w:val="0"/>
          <w:smallCaps w:val="0"/>
          <w:strike w:val="0"/>
          <w:sz w:val="20"/>
          <w:u w:val="none"/>
        </w:rPr>
        <w:t>ndex, based on surveys of</w:t>
      </w:r>
      <w:r>
        <w:rPr>
          <w:b w:val="0"/>
          <w:i w:val="0"/>
          <w:smallCaps w:val="0"/>
          <w:strike w:val="0"/>
          <w:sz w:val="20"/>
          <w:u w:val="none"/>
        </w:rPr>
        <w:t xml:space="preserve"> IP </w:t>
      </w:r>
      <w:r>
        <w:rPr>
          <w:b w:val="0"/>
          <w:i w:val="0"/>
          <w:smallCaps w:val="0"/>
          <w:strike w:val="0"/>
          <w:sz w:val="20"/>
          <w:u w:val="none"/>
        </w:rPr>
        <w:t xml:space="preserve">owners, ranks </w:t>
      </w:r>
      <w:r>
        <w:rPr>
          <w:b w:val="0"/>
          <w:i w:val="0"/>
          <w:smallCaps w:val="0"/>
          <w:strike w:val="0"/>
          <w:sz w:val="20"/>
          <w:u w:val="none"/>
        </w:rPr>
        <w:t>U</w:t>
      </w:r>
      <w:r>
        <w:rPr>
          <w:b w:val="0"/>
          <w:i w:val="0"/>
          <w:smallCaps w:val="0"/>
          <w:strike w:val="0"/>
          <w:sz w:val="20"/>
          <w:u w:val="none"/>
        </w:rPr>
        <w:t>.</w:t>
      </w:r>
      <w:r>
        <w:rPr>
          <w:b w:val="0"/>
          <w:i w:val="0"/>
          <w:smallCaps w:val="0"/>
          <w:strike w:val="0"/>
          <w:sz w:val="20"/>
          <w:u w:val="none"/>
        </w:rPr>
        <w:t>S.</w:t>
      </w:r>
      <w:r>
        <w:rPr>
          <w:b w:val="0"/>
          <w:i w:val="0"/>
          <w:smallCaps w:val="0"/>
          <w:strike w:val="0"/>
          <w:sz w:val="20"/>
          <w:u w:val="none"/>
        </w:rPr>
        <w:t xml:space="preserve"> #24 out of 43 countries</w:t>
      </w:r>
      <w:r>
        <w:rPr>
          <w:b w:val="0"/>
          <w:i w:val="0"/>
          <w:smallCaps w:val="0"/>
          <w:strike w:val="0"/>
          <w:sz w:val="20"/>
          <w:u w:val="none"/>
        </w:rPr>
        <w:t xml:space="preserve">,” </w:t>
      </w:r>
      <w:r>
        <w:rPr>
          <w:b w:val="0"/>
          <w:i w:val="0"/>
          <w:smallCaps w:val="0"/>
          <w:strike w:val="0"/>
          <w:sz w:val="20"/>
          <w:u w:val="none"/>
        </w:rPr>
        <w:t>https://infojustice.org/archives/36184</w:t>
      </w:r>
      <w:r>
        <w:rPr>
          <w:b w:val="0"/>
          <w:i w:val="0"/>
          <w:smallCaps w:val="0"/>
          <w:strike w:val="0"/>
          <w:sz w:val="20"/>
          <w:u w:val="none"/>
        </w:rPr>
        <w:t>]</w:t>
      </w:r>
    </w:p>
    <w:p>
      <w:pPr>
        <w:spacing w:after="60"/>
      </w:pPr>
      <w:r>
        <w:rPr>
          <w:b w:val="0"/>
          <w:i w:val="0"/>
          <w:smallCaps w:val="0"/>
          <w:strike w:val="0"/>
          <w:sz w:val="16"/>
          <w:u w:val="none"/>
        </w:rPr>
        <w:t xml:space="preserve">I’ve written before on </w:t>
      </w:r>
      <w:r>
        <w:rPr>
          <w:b/>
          <w:i w:val="0"/>
          <w:smallCaps w:val="0"/>
          <w:strike w:val="0"/>
          <w:sz w:val="24"/>
          <w:u w:val="single"/>
        </w:rPr>
        <w:t>the U.S. Chamber of Commerce’s International Intellectual Property Index</w:t>
      </w:r>
      <w:r>
        <w:rPr>
          <w:b w:val="0"/>
          <w:i w:val="0"/>
          <w:smallCaps w:val="0"/>
          <w:strike w:val="0"/>
          <w:sz w:val="16"/>
          <w:u w:val="none"/>
        </w:rPr>
        <w:t xml:space="preserve">, </w:t>
      </w:r>
      <w:r>
        <w:rPr>
          <w:b/>
          <w:i w:val="0"/>
          <w:smallCaps w:val="0"/>
          <w:strike w:val="0"/>
          <w:sz w:val="24"/>
          <w:u w:val="single"/>
        </w:rPr>
        <w:t xml:space="preserve">which ranks the </w:t>
      </w:r>
      <w:r>
        <w:rPr>
          <w:b/>
          <w:i w:val="0"/>
          <w:smallCaps w:val="0"/>
          <w:strike w:val="0"/>
          <w:sz w:val="24"/>
          <w:u w:val="single"/>
        </w:rPr>
        <w:t>strength</w:t>
      </w:r>
      <w:r>
        <w:rPr>
          <w:b/>
          <w:i w:val="0"/>
          <w:smallCaps w:val="0"/>
          <w:strike w:val="0"/>
          <w:sz w:val="24"/>
          <w:u w:val="single"/>
        </w:rPr>
        <w:t xml:space="preserve"> of countries’ </w:t>
      </w:r>
      <w:r>
        <w:rPr>
          <w:b/>
          <w:i w:val="0"/>
          <w:smallCaps w:val="0"/>
          <w:strike w:val="0"/>
          <w:sz w:val="24"/>
          <w:u w:val="single"/>
        </w:rPr>
        <w:t>intellectual property protection</w:t>
      </w:r>
      <w:r>
        <w:rPr>
          <w:b/>
          <w:i w:val="0"/>
          <w:smallCaps w:val="0"/>
          <w:strike w:val="0"/>
          <w:sz w:val="24"/>
          <w:u w:val="single"/>
        </w:rPr>
        <w:t xml:space="preserve"> based</w:t>
      </w:r>
      <w:r>
        <w:rPr>
          <w:b/>
          <w:i w:val="0"/>
          <w:smallCaps w:val="0"/>
          <w:strike w:val="0"/>
          <w:sz w:val="24"/>
          <w:u w:val="single"/>
        </w:rPr>
        <w:t xml:space="preserve"> </w:t>
      </w:r>
      <w:r>
        <w:rPr>
          <w:b/>
          <w:i w:val="0"/>
          <w:smallCaps w:val="0"/>
          <w:strike w:val="0"/>
          <w:sz w:val="24"/>
          <w:u w:val="single"/>
        </w:rPr>
        <w:t>on publicly available information about the IP landscape</w:t>
      </w:r>
      <w:r>
        <w:rPr>
          <w:b w:val="0"/>
          <w:i w:val="0"/>
          <w:smallCaps w:val="0"/>
          <w:strike w:val="0"/>
          <w:sz w:val="16"/>
          <w:u w:val="none"/>
        </w:rPr>
        <w:t xml:space="preserve"> in each country. </w:t>
      </w:r>
      <w:r>
        <w:rPr>
          <w:b/>
          <w:i w:val="0"/>
          <w:smallCaps w:val="0"/>
          <w:strike w:val="0"/>
          <w:sz w:val="24"/>
          <w:u w:val="single"/>
        </w:rPr>
        <w:t xml:space="preserve">This includes </w:t>
      </w:r>
      <w:r>
        <w:rPr>
          <w:b/>
          <w:i w:val="0"/>
          <w:smallCaps w:val="0"/>
          <w:strike w:val="0"/>
          <w:sz w:val="24"/>
          <w:u w:val="single"/>
        </w:rPr>
        <w:t>laws</w:t>
      </w:r>
      <w:r>
        <w:rPr>
          <w:b/>
          <w:i w:val="0"/>
          <w:smallCaps w:val="0"/>
          <w:strike w:val="0"/>
          <w:sz w:val="24"/>
          <w:u w:val="single"/>
        </w:rPr>
        <w:t xml:space="preserve">, </w:t>
      </w:r>
      <w:r>
        <w:rPr>
          <w:b/>
          <w:i w:val="0"/>
          <w:smallCaps w:val="0"/>
          <w:strike w:val="0"/>
          <w:sz w:val="24"/>
          <w:u w:val="single"/>
        </w:rPr>
        <w:t>regulations</w:t>
      </w:r>
      <w:r>
        <w:rPr>
          <w:b w:val="0"/>
          <w:i w:val="0"/>
          <w:smallCaps w:val="0"/>
          <w:strike w:val="0"/>
          <w:sz w:val="16"/>
          <w:u w:val="none"/>
        </w:rPr>
        <w:t xml:space="preserve">, </w:t>
      </w:r>
      <w:r>
        <w:rPr>
          <w:b/>
          <w:i w:val="0"/>
          <w:smallCaps w:val="0"/>
          <w:strike w:val="0"/>
          <w:sz w:val="24"/>
          <w:u w:val="single"/>
        </w:rPr>
        <w:t>court decisions</w:t>
      </w:r>
      <w:r>
        <w:rPr>
          <w:b w:val="0"/>
          <w:i w:val="0"/>
          <w:smallCaps w:val="0"/>
          <w:strike w:val="0"/>
          <w:sz w:val="16"/>
          <w:u w:val="none"/>
        </w:rPr>
        <w:t xml:space="preserve">, academic studies, analysis from bodies like OECD, and news stories. As I mentioned in my post on the 2014 index, </w:t>
      </w:r>
      <w:r>
        <w:rPr>
          <w:b/>
          <w:i w:val="0"/>
          <w:smallCaps w:val="0"/>
          <w:strike w:val="0"/>
          <w:sz w:val="24"/>
          <w:u w:val="single"/>
        </w:rPr>
        <w:t xml:space="preserve">a fair amount of </w:t>
      </w:r>
      <w:r>
        <w:rPr>
          <w:b/>
          <w:i w:val="0"/>
          <w:smallCaps w:val="0"/>
          <w:strike w:val="0"/>
          <w:sz w:val="24"/>
          <w:u w:val="single"/>
        </w:rPr>
        <w:t>subjectivity</w:t>
      </w:r>
      <w:r>
        <w:rPr>
          <w:b w:val="0"/>
          <w:i w:val="0"/>
          <w:smallCaps w:val="0"/>
          <w:strike w:val="0"/>
          <w:sz w:val="16"/>
          <w:u w:val="none"/>
        </w:rPr>
        <w:t xml:space="preserve"> </w:t>
      </w:r>
      <w:r>
        <w:rPr>
          <w:b/>
          <w:i w:val="0"/>
          <w:smallCaps w:val="0"/>
          <w:strike w:val="0"/>
          <w:sz w:val="24"/>
          <w:u w:val="single"/>
        </w:rPr>
        <w:t>goes into the document, which ranks the U.S. #1 and is used to promote the expansion of U.S.-style intellectual property norms</w:t>
      </w:r>
      <w:r>
        <w:rPr>
          <w:b w:val="0"/>
          <w:i w:val="0"/>
          <w:smallCaps w:val="0"/>
          <w:strike w:val="0"/>
          <w:sz w:val="16"/>
          <w:u w:val="none"/>
        </w:rPr>
        <w:t>.</w:t>
      </w:r>
    </w:p>
    <w:p>
      <w:pPr>
        <w:spacing w:after="60"/>
      </w:pPr>
      <w:r>
        <w:rPr>
          <w:b w:val="0"/>
          <w:i w:val="0"/>
          <w:smallCaps w:val="0"/>
          <w:strike w:val="0"/>
          <w:sz w:val="16"/>
          <w:u w:val="none"/>
        </w:rPr>
        <w:t xml:space="preserve">Today I came across James Nurton’s post on the Managing IP Blog about the multinational law firm </w:t>
      </w:r>
      <w:r>
        <w:rPr>
          <w:b/>
          <w:i w:val="0"/>
          <w:smallCaps w:val="0"/>
          <w:strike w:val="0"/>
          <w:sz w:val="24"/>
          <w:u w:val="single"/>
        </w:rPr>
        <w:t>Taylor Wessing’s</w:t>
      </w:r>
      <w:r>
        <w:rPr>
          <w:b w:val="0"/>
          <w:i w:val="0"/>
          <w:smallCaps w:val="0"/>
          <w:strike w:val="0"/>
          <w:sz w:val="16"/>
          <w:u w:val="none"/>
        </w:rPr>
        <w:t xml:space="preserve"> Global Intellectual Property index (</w:t>
      </w:r>
      <w:r>
        <w:rPr>
          <w:b/>
          <w:i w:val="0"/>
          <w:smallCaps w:val="0"/>
          <w:strike w:val="0"/>
          <w:sz w:val="24"/>
          <w:u w:val="single"/>
        </w:rPr>
        <w:t>GIPI</w:t>
      </w:r>
      <w:r>
        <w:rPr>
          <w:b w:val="0"/>
          <w:i w:val="0"/>
          <w:smallCaps w:val="0"/>
          <w:strike w:val="0"/>
          <w:sz w:val="16"/>
          <w:u w:val="none"/>
        </w:rPr>
        <w:t xml:space="preserve">). This </w:t>
      </w:r>
      <w:r>
        <w:rPr>
          <w:b/>
          <w:i w:val="0"/>
          <w:smallCaps w:val="0"/>
          <w:strike w:val="0"/>
          <w:sz w:val="24"/>
          <w:u w:val="single"/>
        </w:rPr>
        <w:t>comparison of countries’ IP protection ranks the U.</w:t>
      </w:r>
      <w:r>
        <w:rPr>
          <w:b/>
          <w:i w:val="0"/>
          <w:smallCaps w:val="0"/>
          <w:strike w:val="0"/>
          <w:sz w:val="24"/>
          <w:u w:val="single"/>
        </w:rPr>
        <w:t>S. at 24 out of 43</w:t>
      </w:r>
      <w:r>
        <w:rPr>
          <w:b w:val="0"/>
          <w:i w:val="0"/>
          <w:smallCaps w:val="0"/>
          <w:strike w:val="0"/>
          <w:sz w:val="16"/>
          <w:u w:val="none"/>
        </w:rPr>
        <w:t xml:space="preserve"> – tied with Chile and occupying a neighborhood in the list among other countries the U.S. has accused of inadequate IP protection. </w:t>
      </w:r>
    </w:p>
    <w:p>
      <w:pPr>
        <w:spacing w:after="60"/>
      </w:pPr>
      <w:r>
        <w:rPr>
          <w:b/>
          <w:i w:val="0"/>
          <w:smallCaps w:val="0"/>
          <w:strike w:val="0"/>
          <w:sz w:val="24"/>
          <w:u w:val="single"/>
        </w:rPr>
        <w:t xml:space="preserve">The difference between the “International” and “Global” IP Indexes is based on what each </w:t>
      </w:r>
      <w:r>
        <w:rPr>
          <w:b/>
          <w:i w:val="0"/>
          <w:smallCaps w:val="0"/>
          <w:strike w:val="0"/>
          <w:sz w:val="24"/>
          <w:u w:val="single"/>
        </w:rPr>
        <w:t>measures</w:t>
      </w:r>
      <w:r>
        <w:rPr>
          <w:b/>
          <w:i w:val="0"/>
          <w:smallCaps w:val="0"/>
          <w:strike w:val="0"/>
          <w:sz w:val="24"/>
          <w:u w:val="single"/>
        </w:rPr>
        <w:t>.</w:t>
      </w:r>
      <w:r>
        <w:rPr>
          <w:b w:val="0"/>
          <w:i w:val="0"/>
          <w:smallCaps w:val="0"/>
          <w:strike w:val="0"/>
          <w:sz w:val="16"/>
          <w:u w:val="none"/>
        </w:rPr>
        <w:t xml:space="preserve"> Not only does it account for the difference in the American ranking, </w:t>
      </w:r>
      <w:r>
        <w:rPr>
          <w:b w:val="0"/>
          <w:i w:val="0"/>
          <w:smallCaps w:val="0"/>
          <w:strike w:val="0"/>
          <w:sz w:val="16"/>
          <w:u w:val="none"/>
        </w:rPr>
        <w:t>it</w:t>
      </w:r>
      <w:r>
        <w:rPr>
          <w:b w:val="0"/>
          <w:i w:val="0"/>
          <w:smallCaps w:val="0"/>
          <w:strike w:val="0"/>
          <w:sz w:val="16"/>
          <w:u w:val="none"/>
        </w:rPr>
        <w:t xml:space="preserve"> also suggests that the focus of some IP advocacy does not always reflect what people who rely on IP deem important.</w:t>
      </w:r>
    </w:p>
    <w:p>
      <w:pPr>
        <w:spacing w:after="60"/>
      </w:pPr>
      <w:r>
        <w:rPr>
          <w:b/>
          <w:i w:val="0"/>
          <w:smallCaps w:val="0"/>
          <w:strike w:val="0"/>
          <w:sz w:val="24"/>
          <w:u w:val="single"/>
        </w:rPr>
        <w:t>The GIPI bases its rankings on a worldwide survey of IP</w:t>
      </w:r>
      <w:r>
        <w:rPr>
          <w:b w:val="0"/>
          <w:i w:val="0"/>
          <w:smallCaps w:val="0"/>
          <w:strike w:val="0"/>
          <w:sz w:val="16"/>
          <w:u w:val="none"/>
        </w:rPr>
        <w:t xml:space="preserve"> owners and users giving over 14,000 </w:t>
      </w:r>
      <w:r>
        <w:rPr>
          <w:b w:val="0"/>
          <w:i w:val="0"/>
          <w:smallCaps w:val="0"/>
          <w:strike w:val="0"/>
          <w:sz w:val="16"/>
          <w:u w:val="none"/>
        </w:rPr>
        <w:t>assessments ,</w:t>
      </w:r>
      <w:r>
        <w:rPr>
          <w:b w:val="0"/>
          <w:i w:val="0"/>
          <w:smallCaps w:val="0"/>
          <w:strike w:val="0"/>
          <w:sz w:val="16"/>
          <w:u w:val="none"/>
        </w:rPr>
        <w:t xml:space="preserve"> </w:t>
      </w:r>
      <w:r>
        <w:rPr>
          <w:b/>
          <w:i w:val="0"/>
          <w:smallCaps w:val="0"/>
          <w:strike w:val="0"/>
          <w:sz w:val="24"/>
          <w:u w:val="single"/>
        </w:rPr>
        <w:t>as weighted bearing in mind data from 50 objective sources</w:t>
      </w:r>
      <w:r>
        <w:rPr>
          <w:b w:val="0"/>
          <w:i w:val="0"/>
          <w:smallCaps w:val="0"/>
          <w:strike w:val="0"/>
          <w:sz w:val="16"/>
          <w:u w:val="none"/>
        </w:rPr>
        <w:t xml:space="preserve"> (or ‘instrumental factors’). </w:t>
      </w:r>
      <w:r>
        <w:rPr>
          <w:b/>
          <w:i w:val="0"/>
          <w:smallCaps w:val="0"/>
          <w:strike w:val="0"/>
          <w:sz w:val="24"/>
          <w:u w:val="single"/>
        </w:rPr>
        <w:t>The latter includes published empirical data,</w:t>
      </w:r>
      <w:r>
        <w:rPr>
          <w:b w:val="0"/>
          <w:i w:val="0"/>
          <w:smallCaps w:val="0"/>
          <w:strike w:val="0"/>
          <w:sz w:val="16"/>
          <w:u w:val="none"/>
        </w:rPr>
        <w:t xml:space="preserve"> </w:t>
      </w:r>
      <w:r>
        <w:rPr>
          <w:b/>
          <w:i w:val="0"/>
          <w:smallCaps w:val="0"/>
          <w:strike w:val="0"/>
          <w:sz w:val="24"/>
          <w:u w:val="single"/>
        </w:rPr>
        <w:t xml:space="preserve">such as the number of patent or </w:t>
      </w:r>
      <w:r>
        <w:rPr>
          <w:b/>
          <w:i w:val="0"/>
          <w:smallCaps w:val="0"/>
          <w:strike w:val="0"/>
          <w:sz w:val="24"/>
          <w:u w:val="single"/>
        </w:rPr>
        <w:t>trade mark</w:t>
      </w:r>
      <w:r>
        <w:rPr>
          <w:b/>
          <w:i w:val="0"/>
          <w:smallCaps w:val="0"/>
          <w:strike w:val="0"/>
          <w:sz w:val="24"/>
          <w:u w:val="single"/>
        </w:rPr>
        <w:t xml:space="preserve"> filings and grants, the value of royalty fee payments, R&amp;D expenditure and the</w:t>
      </w:r>
      <w:r>
        <w:rPr>
          <w:b w:val="0"/>
          <w:i w:val="0"/>
          <w:smallCaps w:val="0"/>
          <w:strike w:val="0"/>
          <w:sz w:val="16"/>
          <w:u w:val="none"/>
        </w:rPr>
        <w:t xml:space="preserve"> </w:t>
      </w:r>
      <w:r>
        <w:rPr>
          <w:b/>
          <w:i w:val="0"/>
          <w:smallCaps w:val="0"/>
          <w:strike w:val="0"/>
          <w:sz w:val="24"/>
          <w:u w:val="single"/>
        </w:rPr>
        <w:t>origin of counterfeits as seized by customs</w:t>
      </w:r>
      <w:r>
        <w:rPr>
          <w:b w:val="0"/>
          <w:i w:val="0"/>
          <w:smallCaps w:val="0"/>
          <w:strike w:val="0"/>
          <w:sz w:val="16"/>
          <w:u w:val="none"/>
        </w:rPr>
        <w:t>.</w:t>
      </w:r>
    </w:p>
    <w:p>
      <w:pPr>
        <w:spacing w:after="60"/>
      </w:pPr>
      <w:r>
        <w:rPr>
          <w:b w:val="0"/>
          <w:i w:val="0"/>
          <w:smallCaps w:val="0"/>
          <w:strike w:val="0"/>
          <w:sz w:val="16"/>
          <w:u w:val="none"/>
        </w:rPr>
        <w:t xml:space="preserve">It is unclear from the report how the weights were applied, but at its base, </w:t>
      </w:r>
      <w:r>
        <w:rPr>
          <w:b/>
          <w:i w:val="0"/>
          <w:smallCaps w:val="0"/>
          <w:strike w:val="0"/>
          <w:sz w:val="24"/>
          <w:u w:val="single"/>
        </w:rPr>
        <w:t xml:space="preserve">the GIPI seems to be a product of the </w:t>
      </w:r>
      <w:r>
        <w:rPr>
          <w:b/>
          <w:i w:val="0"/>
          <w:smallCaps w:val="0"/>
          <w:strike w:val="0"/>
          <w:sz w:val="24"/>
          <w:u w:val="single"/>
        </w:rPr>
        <w:t>survey respondents’ views.</w:t>
      </w:r>
      <w:r>
        <w:rPr>
          <w:b w:val="0"/>
          <w:i w:val="0"/>
          <w:smallCaps w:val="0"/>
          <w:strike w:val="0"/>
          <w:sz w:val="16"/>
          <w:u w:val="none"/>
        </w:rPr>
        <w:t xml:space="preserve"> Respondents were asked to score countries based on how well they could obtain, exploit, enforce and challenge each of the four main IP rights: patents, copyrights, trademarks, and designs. They were given the following list of ‘influencing factors’ they could use to justify their score [not to be confused with the ‘instrumental factors’ for weighting].</w:t>
      </w:r>
    </w:p>
    <w:p>
      <w:pPr>
        <w:spacing w:after="60"/>
      </w:pPr>
      <w:r>
        <w:rPr>
          <w:b w:val="0"/>
          <w:i w:val="0"/>
          <w:smallCaps w:val="0"/>
          <w:strike w:val="0"/>
          <w:sz w:val="16"/>
          <w:u w:val="none"/>
        </w:rPr>
        <w:t>Overall costs</w:t>
      </w:r>
    </w:p>
    <w:p>
      <w:pPr>
        <w:spacing w:after="60"/>
      </w:pPr>
      <w:r>
        <w:rPr>
          <w:b w:val="0"/>
          <w:i w:val="0"/>
          <w:smallCaps w:val="0"/>
          <w:strike w:val="0"/>
          <w:sz w:val="16"/>
          <w:u w:val="none"/>
        </w:rPr>
        <w:t xml:space="preserve">Competence, </w:t>
      </w:r>
      <w:r>
        <w:rPr>
          <w:b/>
          <w:i w:val="0"/>
          <w:smallCaps w:val="0"/>
          <w:strike w:val="0"/>
          <w:sz w:val="24"/>
          <w:u w:val="single"/>
        </w:rPr>
        <w:t xml:space="preserve">reputation and </w:t>
      </w:r>
      <w:r>
        <w:rPr>
          <w:b/>
          <w:i w:val="0"/>
          <w:smallCaps w:val="0"/>
          <w:strike w:val="0"/>
          <w:sz w:val="24"/>
          <w:u w:val="single"/>
        </w:rPr>
        <w:t>specialisation</w:t>
      </w:r>
      <w:r>
        <w:rPr>
          <w:b/>
          <w:i w:val="0"/>
          <w:smallCaps w:val="0"/>
          <w:strike w:val="0"/>
          <w:sz w:val="24"/>
          <w:u w:val="single"/>
        </w:rPr>
        <w:t xml:space="preserve"> of judges</w:t>
      </w:r>
    </w:p>
    <w:p>
      <w:pPr>
        <w:spacing w:after="60"/>
      </w:pPr>
      <w:r>
        <w:rPr>
          <w:b/>
          <w:i w:val="0"/>
          <w:smallCaps w:val="0"/>
          <w:strike w:val="0"/>
          <w:sz w:val="24"/>
          <w:u w:val="single"/>
        </w:rPr>
        <w:t xml:space="preserve">Availability of competent </w:t>
      </w:r>
      <w:r>
        <w:rPr>
          <w:b/>
          <w:i w:val="0"/>
          <w:smallCaps w:val="0"/>
          <w:strike w:val="0"/>
          <w:sz w:val="24"/>
          <w:u w:val="single"/>
        </w:rPr>
        <w:t>professionals</w:t>
      </w:r>
      <w:r>
        <w:rPr>
          <w:b/>
          <w:i w:val="0"/>
          <w:smallCaps w:val="0"/>
          <w:strike w:val="0"/>
          <w:sz w:val="24"/>
          <w:u w:val="single"/>
        </w:rPr>
        <w:t xml:space="preserve"> advisors</w:t>
      </w:r>
    </w:p>
    <w:p>
      <w:pPr>
        <w:spacing w:after="60"/>
      </w:pPr>
      <w:r>
        <w:rPr>
          <w:b/>
          <w:i w:val="0"/>
          <w:smallCaps w:val="0"/>
          <w:strike w:val="0"/>
          <w:sz w:val="24"/>
          <w:u w:val="single"/>
        </w:rPr>
        <w:t>Speed of procedures</w:t>
      </w:r>
      <w:r>
        <w:rPr>
          <w:b/>
          <w:i w:val="0"/>
          <w:smallCaps w:val="0"/>
          <w:strike w:val="0"/>
          <w:sz w:val="24"/>
          <w:u w:val="single"/>
        </w:rPr>
        <w:t>/decisions</w:t>
      </w:r>
    </w:p>
    <w:p>
      <w:pPr>
        <w:spacing w:after="60"/>
      </w:pPr>
      <w:r>
        <w:rPr>
          <w:b/>
          <w:i w:val="0"/>
          <w:smallCaps w:val="0"/>
          <w:strike w:val="0"/>
          <w:sz w:val="24"/>
          <w:u w:val="single"/>
        </w:rPr>
        <w:t>Consistency, reliability and ease of predicting decisions</w:t>
      </w:r>
    </w:p>
    <w:p>
      <w:pPr>
        <w:spacing w:after="60"/>
      </w:pPr>
      <w:r>
        <w:rPr>
          <w:b/>
          <w:i w:val="0"/>
          <w:smallCaps w:val="0"/>
          <w:strike w:val="0"/>
          <w:sz w:val="24"/>
          <w:u w:val="single"/>
        </w:rPr>
        <w:t>Strength of court remedies</w:t>
      </w:r>
      <w:r>
        <w:rPr>
          <w:b/>
          <w:i w:val="0"/>
          <w:smallCaps w:val="0"/>
          <w:strike w:val="0"/>
          <w:sz w:val="24"/>
          <w:u w:val="single"/>
        </w:rPr>
        <w:t>, including amounts of damages awarded and availability of interim/preliminary injunctions</w:t>
      </w:r>
    </w:p>
    <w:p>
      <w:pPr>
        <w:spacing w:after="60"/>
      </w:pPr>
      <w:r>
        <w:rPr>
          <w:b/>
          <w:i w:val="0"/>
          <w:smallCaps w:val="0"/>
          <w:strike w:val="0"/>
          <w:sz w:val="24"/>
          <w:u w:val="single"/>
        </w:rPr>
        <w:t>Adequate or insufficient body of clear IP law</w:t>
      </w:r>
    </w:p>
    <w:p>
      <w:pPr>
        <w:spacing w:after="60"/>
      </w:pPr>
      <w:r>
        <w:rPr>
          <w:b/>
          <w:i w:val="0"/>
          <w:smallCaps w:val="0"/>
          <w:strike w:val="0"/>
          <w:sz w:val="24"/>
          <w:u w:val="single"/>
        </w:rPr>
        <w:t xml:space="preserve">Ability or </w:t>
      </w:r>
      <w:r>
        <w:rPr>
          <w:b/>
          <w:i w:val="0"/>
          <w:smallCaps w:val="0"/>
          <w:strike w:val="0"/>
          <w:sz w:val="24"/>
          <w:u w:val="single"/>
        </w:rPr>
        <w:t>inability to recover costs</w:t>
      </w:r>
      <w:r>
        <w:rPr>
          <w:b/>
          <w:i w:val="0"/>
          <w:smallCaps w:val="0"/>
          <w:strike w:val="0"/>
          <w:sz w:val="24"/>
          <w:u w:val="single"/>
        </w:rPr>
        <w:t xml:space="preserve"> from losing opponent</w:t>
      </w:r>
    </w:p>
    <w:p>
      <w:pPr>
        <w:spacing w:after="60"/>
      </w:pPr>
      <w:r>
        <w:rPr>
          <w:b w:val="0"/>
          <w:i w:val="0"/>
          <w:smallCaps w:val="0"/>
          <w:strike w:val="0"/>
          <w:sz w:val="16"/>
          <w:u w:val="none"/>
        </w:rPr>
        <w:t>Extent to which you can control timetables</w:t>
      </w:r>
    </w:p>
    <w:p>
      <w:pPr>
        <w:spacing w:after="60"/>
      </w:pPr>
      <w:r>
        <w:rPr>
          <w:b/>
          <w:i w:val="0"/>
          <w:smallCaps w:val="0"/>
          <w:strike w:val="0"/>
          <w:sz w:val="24"/>
          <w:u w:val="single"/>
        </w:rPr>
        <w:t>Signatory to relevant international treaties</w:t>
      </w:r>
    </w:p>
    <w:p>
      <w:pPr>
        <w:spacing w:after="60"/>
      </w:pPr>
      <w:r>
        <w:rPr>
          <w:b/>
          <w:i w:val="0"/>
          <w:smallCaps w:val="0"/>
          <w:strike w:val="0"/>
          <w:sz w:val="24"/>
          <w:u w:val="single"/>
        </w:rPr>
        <w:t xml:space="preserve">Presence or absence of </w:t>
      </w:r>
      <w:r>
        <w:rPr>
          <w:b/>
          <w:i w:val="0"/>
          <w:smallCaps w:val="0"/>
          <w:strike w:val="0"/>
          <w:sz w:val="24"/>
          <w:u w:val="single"/>
        </w:rPr>
        <w:t>burdensome procedure</w:t>
      </w:r>
      <w:r>
        <w:rPr>
          <w:b/>
          <w:i w:val="0"/>
          <w:smallCaps w:val="0"/>
          <w:strike w:val="0"/>
          <w:sz w:val="24"/>
          <w:u w:val="single"/>
        </w:rPr>
        <w:t>/bureaucracy</w:t>
      </w:r>
    </w:p>
    <w:p>
      <w:pPr>
        <w:spacing w:after="60"/>
      </w:pPr>
      <w:r>
        <w:rPr>
          <w:b w:val="0"/>
          <w:i w:val="0"/>
          <w:smallCaps w:val="0"/>
          <w:strike w:val="0"/>
          <w:sz w:val="16"/>
          <w:u w:val="none"/>
        </w:rPr>
        <w:t xml:space="preserve">Ability or </w:t>
      </w:r>
      <w:r>
        <w:rPr>
          <w:b/>
          <w:i w:val="0"/>
          <w:smallCaps w:val="0"/>
          <w:strike w:val="0"/>
          <w:sz w:val="24"/>
          <w:u w:val="single"/>
        </w:rPr>
        <w:t>inability to attack rights through cheaper</w:t>
      </w:r>
      <w:r>
        <w:rPr>
          <w:b w:val="0"/>
          <w:i w:val="0"/>
          <w:smallCaps w:val="0"/>
          <w:strike w:val="0"/>
          <w:sz w:val="16"/>
          <w:u w:val="none"/>
        </w:rPr>
        <w:t xml:space="preserve">/quicker </w:t>
      </w:r>
      <w:r>
        <w:rPr>
          <w:b/>
          <w:i w:val="0"/>
          <w:smallCaps w:val="0"/>
          <w:strike w:val="0"/>
          <w:sz w:val="24"/>
          <w:u w:val="single"/>
        </w:rPr>
        <w:t>registries</w:t>
      </w:r>
      <w:r>
        <w:rPr>
          <w:b w:val="0"/>
          <w:i w:val="0"/>
          <w:smallCaps w:val="0"/>
          <w:strike w:val="0"/>
          <w:sz w:val="16"/>
          <w:u w:val="none"/>
        </w:rPr>
        <w:t xml:space="preserve"> rather than courts</w:t>
      </w:r>
    </w:p>
    <w:p>
      <w:pPr>
        <w:spacing w:after="60"/>
      </w:pPr>
      <w:r>
        <w:rPr>
          <w:b w:val="0"/>
          <w:i w:val="0"/>
          <w:smallCaps w:val="0"/>
          <w:strike w:val="0"/>
          <w:sz w:val="16"/>
          <w:u w:val="none"/>
        </w:rPr>
        <w:t>Judgments/</w:t>
      </w:r>
      <w:r>
        <w:rPr>
          <w:b/>
          <w:i w:val="0"/>
          <w:smallCaps w:val="0"/>
          <w:strike w:val="0"/>
          <w:sz w:val="24"/>
          <w:u w:val="single"/>
        </w:rPr>
        <w:t>decisions</w:t>
      </w:r>
      <w:r>
        <w:rPr>
          <w:b/>
          <w:i w:val="0"/>
          <w:smallCaps w:val="0"/>
          <w:strike w:val="0"/>
          <w:sz w:val="24"/>
          <w:u w:val="single"/>
        </w:rPr>
        <w:t xml:space="preserve"> </w:t>
      </w:r>
      <w:r>
        <w:rPr>
          <w:b/>
          <w:i w:val="0"/>
          <w:smallCaps w:val="0"/>
          <w:strike w:val="0"/>
          <w:sz w:val="24"/>
          <w:u w:val="single"/>
        </w:rPr>
        <w:t>influential</w:t>
      </w:r>
      <w:r>
        <w:rPr>
          <w:b/>
          <w:i w:val="0"/>
          <w:smallCaps w:val="0"/>
          <w:strike w:val="0"/>
          <w:sz w:val="24"/>
          <w:u w:val="single"/>
        </w:rPr>
        <w:t xml:space="preserve"> in </w:t>
      </w:r>
      <w:r>
        <w:rPr>
          <w:b/>
          <w:i w:val="0"/>
          <w:smallCaps w:val="0"/>
          <w:strike w:val="0"/>
          <w:sz w:val="24"/>
          <w:u w:val="single"/>
        </w:rPr>
        <w:t>other countries</w:t>
      </w:r>
    </w:p>
    <w:p>
      <w:pPr>
        <w:spacing w:after="60"/>
      </w:pPr>
      <w:r>
        <w:rPr>
          <w:b/>
          <w:i w:val="0"/>
          <w:smallCaps w:val="0"/>
          <w:strike w:val="0"/>
          <w:sz w:val="24"/>
          <w:u w:val="single"/>
        </w:rPr>
        <w:t xml:space="preserve">Renewal costs and </w:t>
      </w:r>
      <w:r>
        <w:rPr>
          <w:b/>
          <w:i w:val="0"/>
          <w:smallCaps w:val="0"/>
          <w:strike w:val="0"/>
          <w:sz w:val="24"/>
          <w:u w:val="single"/>
        </w:rPr>
        <w:t>ease of renewal</w:t>
      </w:r>
    </w:p>
    <w:p>
      <w:pPr>
        <w:spacing w:after="60"/>
      </w:pPr>
      <w:r>
        <w:rPr>
          <w:b/>
          <w:i w:val="0"/>
          <w:smallCaps w:val="0"/>
          <w:strike w:val="0"/>
          <w:sz w:val="24"/>
          <w:u w:val="single"/>
        </w:rPr>
        <w:t xml:space="preserve">Openness to </w:t>
      </w:r>
      <w:r>
        <w:rPr>
          <w:b/>
          <w:i w:val="0"/>
          <w:smallCaps w:val="0"/>
          <w:strike w:val="0"/>
          <w:sz w:val="24"/>
          <w:u w:val="single"/>
        </w:rPr>
        <w:t>alternative dispute resolution</w:t>
      </w:r>
      <w:r>
        <w:rPr>
          <w:b w:val="0"/>
          <w:i w:val="0"/>
          <w:smallCaps w:val="0"/>
          <w:strike w:val="0"/>
          <w:sz w:val="16"/>
          <w:u w:val="none"/>
        </w:rPr>
        <w:t>/mediation</w:t>
      </w:r>
    </w:p>
    <w:p>
      <w:pPr>
        <w:spacing w:after="60"/>
      </w:pPr>
      <w:r>
        <w:rPr>
          <w:b w:val="0"/>
          <w:i w:val="0"/>
          <w:smallCaps w:val="0"/>
          <w:strike w:val="0"/>
          <w:sz w:val="16"/>
          <w:u w:val="none"/>
        </w:rPr>
        <w:t>Availability of finance/venture capital</w:t>
      </w:r>
    </w:p>
    <w:p>
      <w:pPr>
        <w:spacing w:after="60"/>
      </w:pPr>
      <w:r>
        <w:rPr>
          <w:b/>
          <w:i w:val="0"/>
          <w:smallCaps w:val="0"/>
          <w:strike w:val="0"/>
          <w:sz w:val="24"/>
          <w:u w:val="single"/>
        </w:rPr>
        <w:t xml:space="preserve">Attractiveness of </w:t>
      </w:r>
      <w:r>
        <w:rPr>
          <w:b/>
          <w:i w:val="0"/>
          <w:smallCaps w:val="0"/>
          <w:strike w:val="0"/>
          <w:sz w:val="24"/>
          <w:u w:val="single"/>
        </w:rPr>
        <w:t>Tax Regime for IP rights</w:t>
      </w:r>
    </w:p>
    <w:p>
      <w:pPr>
        <w:spacing w:after="60"/>
      </w:pPr>
      <w:r>
        <w:rPr>
          <w:b/>
          <w:i w:val="0"/>
          <w:smallCaps w:val="0"/>
          <w:strike w:val="0"/>
          <w:sz w:val="24"/>
          <w:u w:val="single"/>
        </w:rPr>
        <w:t>These influencing factors were based on responses to previous GIPI</w:t>
      </w:r>
      <w:r>
        <w:rPr>
          <w:b w:val="0"/>
          <w:i w:val="0"/>
          <w:smallCaps w:val="0"/>
          <w:strike w:val="0"/>
          <w:sz w:val="16"/>
          <w:u w:val="none"/>
        </w:rPr>
        <w:t xml:space="preserve"> surveys in which respondents had been “invited… to volunteer in free text.” In other words, these are the things that previous survey takers had identified as what was important to them. </w:t>
      </w:r>
      <w:r>
        <w:rPr>
          <w:b/>
          <w:i w:val="0"/>
          <w:smallCaps w:val="0"/>
          <w:strike w:val="0"/>
          <w:sz w:val="24"/>
          <w:u w:val="single"/>
        </w:rPr>
        <w:t xml:space="preserve">They amount to a </w:t>
      </w:r>
      <w:r>
        <w:rPr>
          <w:b/>
          <w:i w:val="0"/>
          <w:smallCaps w:val="0"/>
          <w:strike w:val="0"/>
          <w:sz w:val="24"/>
          <w:u w:val="single"/>
        </w:rPr>
        <w:t>different criteria</w:t>
      </w:r>
      <w:r>
        <w:rPr>
          <w:b/>
          <w:i w:val="0"/>
          <w:smallCaps w:val="0"/>
          <w:strike w:val="0"/>
          <w:sz w:val="24"/>
          <w:u w:val="single"/>
        </w:rPr>
        <w:t xml:space="preserve"> than the U.S. Chamber of Commerce’s International IP Index – one that seems less concerned with the structure of IP law</w:t>
      </w:r>
      <w:r>
        <w:rPr>
          <w:b w:val="0"/>
          <w:i w:val="0"/>
          <w:smallCaps w:val="0"/>
          <w:strike w:val="0"/>
          <w:sz w:val="16"/>
          <w:u w:val="none"/>
        </w:rPr>
        <w:t xml:space="preserve"> and more concerned with the practical aspects of using the IP system.</w:t>
      </w:r>
    </w:p>
    <w:p>
      <w:pPr>
        <w:spacing w:after="60"/>
      </w:pPr>
      <w:r>
        <w:rPr>
          <w:b w:val="0"/>
          <w:i w:val="0"/>
          <w:smallCaps w:val="0"/>
          <w:strike w:val="0"/>
          <w:sz w:val="20"/>
          <w:u w:val="non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