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“Protection” includes the scope, duration, and enforcement of IPR.</w:t>
      </w:r>
    </w:p>
    <w:p>
      <w:pPr>
        <w:spacing w:after="80"/>
      </w:pPr>
      <w:r>
        <w:rPr>
          <w:b/>
          <w:i w:val="0"/>
          <w:smallCaps w:val="0"/>
          <w:strike w:val="0"/>
          <w:sz w:val="26"/>
          <w:u w:val="none"/>
        </w:rPr>
        <w:t>Tuzin</w:t>
      </w:r>
      <w:r>
        <w:rPr>
          <w:b/>
          <w:i w:val="0"/>
          <w:smallCaps w:val="0"/>
          <w:strike w:val="0"/>
          <w:sz w:val="26"/>
          <w:u w:val="none"/>
        </w:rPr>
        <w:t xml:space="preserve"> </w:t>
      </w:r>
      <w:r>
        <w:rPr>
          <w:b/>
          <w:i w:val="0"/>
          <w:smallCaps w:val="0"/>
          <w:strike w:val="0"/>
          <w:sz w:val="26"/>
          <w:u w:val="none"/>
        </w:rPr>
        <w:t xml:space="preserve">’10 </w:t>
      </w:r>
      <w:r>
        <w:rPr>
          <w:b w:val="0"/>
          <w:i w:val="0"/>
          <w:smallCaps w:val="0"/>
          <w:strike w:val="0"/>
          <w:sz w:val="20"/>
          <w:u w:val="none"/>
        </w:rPr>
        <w:t xml:space="preserve">[Alexander; </w:t>
      </w:r>
      <w:r>
        <w:rPr>
          <w:b w:val="0"/>
          <w:i w:val="0"/>
          <w:smallCaps w:val="0"/>
          <w:strike w:val="0"/>
          <w:sz w:val="20"/>
          <w:u w:val="none"/>
        </w:rPr>
        <w:t xml:space="preserve">Spring/Summer; </w:t>
      </w:r>
      <w:r>
        <w:rPr>
          <w:b w:val="0"/>
          <w:i w:val="0"/>
          <w:smallCaps w:val="0"/>
          <w:strike w:val="0"/>
          <w:sz w:val="20"/>
          <w:u w:val="none"/>
        </w:rPr>
        <w:t>Attorney with a JD from the University of San Francisco School of Law</w:t>
      </w:r>
      <w:r>
        <w:rPr>
          <w:b w:val="0"/>
          <w:i w:val="0"/>
          <w:smallCaps w:val="0"/>
          <w:strike w:val="0"/>
          <w:sz w:val="20"/>
          <w:u w:val="none"/>
        </w:rPr>
        <w:t xml:space="preserve">; </w:t>
      </w:r>
      <w:r>
        <w:rPr>
          <w:b w:val="0"/>
          <w:i w:val="0"/>
          <w:smallCaps w:val="0"/>
          <w:strike w:val="0"/>
          <w:sz w:val="20"/>
          <w:u w:val="none"/>
        </w:rPr>
        <w:t>Loyola University Chicago International Law Review,</w:t>
      </w:r>
      <w:r>
        <w:rPr>
          <w:b w:val="0"/>
          <w:i w:val="0"/>
          <w:smallCaps w:val="0"/>
          <w:strike w:val="0"/>
          <w:sz w:val="20"/>
          <w:u w:val="none"/>
        </w:rPr>
        <w:t xml:space="preserve"> </w:t>
      </w:r>
      <w:r>
        <w:rPr>
          <w:b w:val="0"/>
          <w:i w:val="0"/>
          <w:smallCaps w:val="0"/>
          <w:strike w:val="0"/>
          <w:sz w:val="20"/>
          <w:u w:val="none"/>
        </w:rPr>
        <w:t>“Vietnam’s Eligibility to Receive Trade Benefits Under the U.S. Generalized System of Preferences,” vol. 7</w:t>
      </w:r>
      <w:r>
        <w:rPr>
          <w:b w:val="0"/>
          <w:i w:val="0"/>
          <w:smallCaps w:val="0"/>
          <w:strike w:val="0"/>
          <w:sz w:val="20"/>
          <w:u w:val="none"/>
        </w:rPr>
        <w:t>]</w:t>
      </w:r>
    </w:p>
    <w:p>
      <w:pPr>
        <w:spacing w:after="60"/>
      </w:pPr>
      <w:r>
        <w:rPr>
          <w:b w:val="0"/>
          <w:i w:val="0"/>
          <w:smallCaps w:val="0"/>
          <w:strike w:val="0"/>
          <w:sz w:val="16"/>
          <w:u w:val="none"/>
        </w:rPr>
        <w:t xml:space="preserve">Next, </w:t>
      </w:r>
      <w:r>
        <w:rPr>
          <w:b/>
          <w:i w:val="0"/>
          <w:smallCaps w:val="0"/>
          <w:strike w:val="0"/>
          <w:sz w:val="24"/>
          <w:u w:val="single"/>
        </w:rPr>
        <w:t xml:space="preserve">we consider the </w:t>
      </w:r>
      <w:r>
        <w:rPr>
          <w:b/>
          <w:i w:val="0"/>
          <w:smallCaps w:val="0"/>
          <w:strike w:val="0"/>
          <w:sz w:val="24"/>
          <w:u w:val="single"/>
        </w:rPr>
        <w:t>extent to which</w:t>
      </w:r>
      <w:r>
        <w:rPr>
          <w:b/>
          <w:i w:val="0"/>
          <w:smallCaps w:val="0"/>
          <w:strike w:val="0"/>
          <w:sz w:val="24"/>
          <w:u w:val="single"/>
        </w:rPr>
        <w:t xml:space="preserve"> the country provides</w:t>
      </w:r>
      <w:r>
        <w:rPr>
          <w:b w:val="0"/>
          <w:i w:val="0"/>
          <w:smallCaps w:val="0"/>
          <w:strike w:val="0"/>
          <w:sz w:val="16"/>
          <w:u w:val="none"/>
        </w:rPr>
        <w:t xml:space="preserve"> "adequate and effective" </w:t>
      </w:r>
      <w:r>
        <w:rPr>
          <w:b/>
          <w:i w:val="0"/>
          <w:smallCaps w:val="0"/>
          <w:strike w:val="0"/>
          <w:sz w:val="24"/>
          <w:u w:val="single"/>
        </w:rPr>
        <w:t>protection</w:t>
      </w:r>
      <w:r>
        <w:rPr>
          <w:b/>
          <w:i w:val="0"/>
          <w:smallCaps w:val="0"/>
          <w:strike w:val="0"/>
          <w:sz w:val="24"/>
          <w:u w:val="single"/>
        </w:rPr>
        <w:t xml:space="preserve"> of </w:t>
      </w:r>
      <w:r>
        <w:rPr>
          <w:b/>
          <w:i w:val="0"/>
          <w:smallCaps w:val="0"/>
          <w:strike w:val="0"/>
          <w:sz w:val="24"/>
          <w:u w:val="single"/>
        </w:rPr>
        <w:t>i</w:t>
      </w:r>
      <w:r>
        <w:rPr>
          <w:b/>
          <w:i w:val="0"/>
          <w:smallCaps w:val="0"/>
          <w:strike w:val="0"/>
          <w:sz w:val="24"/>
          <w:u w:val="single"/>
        </w:rPr>
        <w:t xml:space="preserve">ntellectual </w:t>
      </w:r>
      <w:r>
        <w:rPr>
          <w:b/>
          <w:i w:val="0"/>
          <w:smallCaps w:val="0"/>
          <w:strike w:val="0"/>
          <w:sz w:val="24"/>
          <w:u w:val="single"/>
        </w:rPr>
        <w:t>p</w:t>
      </w:r>
      <w:r>
        <w:rPr>
          <w:b/>
          <w:i w:val="0"/>
          <w:smallCaps w:val="0"/>
          <w:strike w:val="0"/>
          <w:sz w:val="24"/>
          <w:u w:val="single"/>
        </w:rPr>
        <w:t xml:space="preserve">roperty </w:t>
      </w:r>
      <w:r>
        <w:rPr>
          <w:b/>
          <w:i w:val="0"/>
          <w:smallCaps w:val="0"/>
          <w:strike w:val="0"/>
          <w:sz w:val="24"/>
          <w:u w:val="single"/>
        </w:rPr>
        <w:t>r</w:t>
      </w:r>
      <w:r>
        <w:rPr>
          <w:b/>
          <w:i w:val="0"/>
          <w:smallCaps w:val="0"/>
          <w:strike w:val="0"/>
          <w:sz w:val="24"/>
          <w:u w:val="single"/>
        </w:rPr>
        <w:t>ights</w:t>
      </w:r>
      <w:r>
        <w:rPr>
          <w:b w:val="0"/>
          <w:i w:val="0"/>
          <w:smallCaps w:val="0"/>
          <w:strike w:val="0"/>
          <w:sz w:val="16"/>
          <w:u w:val="none"/>
        </w:rPr>
        <w:t>. The Senate Finance Committee Report explained that:</w:t>
      </w:r>
    </w:p>
    <w:p>
      <w:pPr>
        <w:spacing w:after="60"/>
      </w:pPr>
      <w:r>
        <w:rPr>
          <w:b w:val="0"/>
          <w:i w:val="0"/>
          <w:smallCaps w:val="0"/>
          <w:strike w:val="0"/>
          <w:sz w:val="16"/>
          <w:u w:val="none"/>
        </w:rPr>
        <w:t xml:space="preserve">To determine whether a country provides "adequate and effective means," </w:t>
      </w:r>
      <w:r>
        <w:rPr>
          <w:b/>
          <w:i w:val="0"/>
          <w:smallCaps w:val="0"/>
          <w:strike w:val="0"/>
          <w:sz w:val="24"/>
          <w:u w:val="single"/>
        </w:rPr>
        <w:t xml:space="preserve">the President should consider the </w:t>
      </w:r>
      <w:r>
        <w:rPr>
          <w:b/>
          <w:i w:val="0"/>
          <w:smallCaps w:val="0"/>
          <w:strike w:val="0"/>
          <w:sz w:val="24"/>
          <w:u w:val="single"/>
        </w:rPr>
        <w:t>extent</w:t>
      </w:r>
      <w:r>
        <w:rPr>
          <w:b/>
          <w:i w:val="0"/>
          <w:smallCaps w:val="0"/>
          <w:strike w:val="0"/>
          <w:sz w:val="24"/>
          <w:u w:val="single"/>
        </w:rPr>
        <w:t xml:space="preserve"> of </w:t>
      </w:r>
      <w:r>
        <w:rPr>
          <w:b/>
          <w:i w:val="0"/>
          <w:smallCaps w:val="0"/>
          <w:strike w:val="0"/>
          <w:sz w:val="24"/>
          <w:u w:val="single"/>
        </w:rPr>
        <w:t>statutory protection</w:t>
      </w:r>
      <w:r>
        <w:rPr>
          <w:b/>
          <w:i w:val="0"/>
          <w:smallCaps w:val="0"/>
          <w:strike w:val="0"/>
          <w:sz w:val="24"/>
          <w:u w:val="single"/>
        </w:rPr>
        <w:t xml:space="preserve"> for intellectual property (</w:t>
      </w:r>
      <w:r>
        <w:rPr>
          <w:b/>
          <w:i w:val="0"/>
          <w:smallCaps w:val="0"/>
          <w:strike w:val="0"/>
          <w:sz w:val="24"/>
          <w:u w:val="single"/>
        </w:rPr>
        <w:t>including</w:t>
      </w:r>
      <w:r>
        <w:rPr>
          <w:b/>
          <w:i w:val="0"/>
          <w:smallCaps w:val="0"/>
          <w:strike w:val="0"/>
          <w:sz w:val="24"/>
          <w:u w:val="single"/>
        </w:rPr>
        <w:t xml:space="preserve"> the </w:t>
      </w:r>
      <w:r>
        <w:rPr>
          <w:b/>
          <w:i w:val="0"/>
          <w:smallCaps w:val="0"/>
          <w:strike w:val="0"/>
          <w:sz w:val="24"/>
          <w:u w:val="single"/>
        </w:rPr>
        <w:t>scope</w:t>
      </w:r>
      <w:r>
        <w:rPr>
          <w:b/>
          <w:i w:val="0"/>
          <w:smallCaps w:val="0"/>
          <w:strike w:val="0"/>
          <w:sz w:val="24"/>
          <w:u w:val="single"/>
        </w:rPr>
        <w:t xml:space="preserve"> and </w:t>
      </w:r>
      <w:r>
        <w:rPr>
          <w:b/>
          <w:i w:val="0"/>
          <w:smallCaps w:val="0"/>
          <w:strike w:val="0"/>
          <w:sz w:val="24"/>
          <w:u w:val="single"/>
        </w:rPr>
        <w:t>duration</w:t>
      </w:r>
      <w:r>
        <w:rPr>
          <w:b/>
          <w:i w:val="0"/>
          <w:smallCaps w:val="0"/>
          <w:strike w:val="0"/>
          <w:sz w:val="24"/>
          <w:u w:val="single"/>
        </w:rPr>
        <w:t xml:space="preserve"> of such protection), the </w:t>
      </w:r>
      <w:r>
        <w:rPr>
          <w:b/>
          <w:i w:val="0"/>
          <w:smallCaps w:val="0"/>
          <w:strike w:val="0"/>
          <w:sz w:val="24"/>
          <w:u w:val="single"/>
        </w:rPr>
        <w:t>remedies available</w:t>
      </w:r>
      <w:r>
        <w:rPr>
          <w:b/>
          <w:i w:val="0"/>
          <w:smallCaps w:val="0"/>
          <w:strike w:val="0"/>
          <w:sz w:val="24"/>
          <w:u w:val="single"/>
        </w:rPr>
        <w:t xml:space="preserve"> to aggrieved parties, the </w:t>
      </w:r>
      <w:r>
        <w:rPr>
          <w:b/>
          <w:i w:val="0"/>
          <w:smallCaps w:val="0"/>
          <w:strike w:val="0"/>
          <w:sz w:val="24"/>
          <w:u w:val="single"/>
        </w:rPr>
        <w:t>willingness</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ability</w:t>
      </w:r>
      <w:r>
        <w:rPr>
          <w:b/>
          <w:i w:val="0"/>
          <w:smallCaps w:val="0"/>
          <w:strike w:val="0"/>
          <w:sz w:val="24"/>
          <w:u w:val="single"/>
        </w:rPr>
        <w:t xml:space="preserve"> of the </w:t>
      </w:r>
      <w:r>
        <w:rPr>
          <w:b/>
          <w:i w:val="0"/>
          <w:smallCaps w:val="0"/>
          <w:strike w:val="0"/>
          <w:sz w:val="24"/>
          <w:u w:val="single"/>
        </w:rPr>
        <w:t>government</w:t>
      </w:r>
      <w:r>
        <w:rPr>
          <w:b/>
          <w:i w:val="0"/>
          <w:smallCaps w:val="0"/>
          <w:strike w:val="0"/>
          <w:sz w:val="24"/>
          <w:u w:val="single"/>
        </w:rPr>
        <w:t xml:space="preserve"> to </w:t>
      </w:r>
      <w:r>
        <w:rPr>
          <w:b/>
          <w:i w:val="0"/>
          <w:smallCaps w:val="0"/>
          <w:strike w:val="0"/>
          <w:sz w:val="24"/>
          <w:u w:val="single"/>
        </w:rPr>
        <w:t>enforce</w:t>
      </w:r>
      <w:r>
        <w:rPr>
          <w:b/>
          <w:i w:val="0"/>
          <w:smallCaps w:val="0"/>
          <w:strike w:val="0"/>
          <w:sz w:val="24"/>
          <w:u w:val="single"/>
        </w:rPr>
        <w:t xml:space="preserve"> intellectual property rights</w:t>
      </w:r>
      <w:r>
        <w:rPr>
          <w:b w:val="0"/>
          <w:i w:val="0"/>
          <w:smallCaps w:val="0"/>
          <w:strike w:val="0"/>
          <w:sz w:val="16"/>
          <w:u w:val="none"/>
        </w:rPr>
        <w:t xml:space="preserve"> on behalf of foreign nationals, the ability of foreign nationals to effectively enforce their intellectual property rights on their own behalf, and whether the country's system of law imposes formalities or similar requirements that, in practice, are an obstacle to meaningful protection.</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