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 ownership is excluded from the scope of copyright protection.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Hickey ’23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[Kevin J.; March 7; Legislative Attorney; Congressional Research Service, “Copyright Law: An Introduction and Issues for Congress,” Report IF12339]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The application of copyright to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artificial intelligence (</w:t>
      </w:r>
      <w:r>
        <w:rPr>
          <w:b/>
          <w:i w:val="0"/>
          <w:smallCaps w:val="0"/>
          <w:strike w:val="0"/>
          <w:sz w:val="24"/>
          <w:u w:val="single"/>
        </w:rPr>
        <w:t>AI</w:t>
      </w:r>
      <w:r>
        <w:rPr>
          <w:b w:val="0"/>
          <w:i w:val="0"/>
          <w:smallCaps w:val="0"/>
          <w:strike w:val="0"/>
          <w:sz w:val="20"/>
          <w:u w:val="none"/>
        </w:rPr>
        <w:t xml:space="preserve">) </w:t>
      </w:r>
      <w:r>
        <w:rPr>
          <w:b/>
          <w:i w:val="0"/>
          <w:smallCaps w:val="0"/>
          <w:strike w:val="0"/>
          <w:sz w:val="24"/>
          <w:u w:val="single"/>
        </w:rPr>
        <w:t>is another emerging issue.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>Copyright Office has taken the position that only a human being—and not an AI—may be an “author” under the Copyright Act.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Others dispute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that </w:t>
      </w:r>
      <w:r>
        <w:rPr>
          <w:b/>
          <w:i w:val="0"/>
          <w:smallCaps w:val="0"/>
          <w:strike w:val="0"/>
          <w:sz w:val="24"/>
          <w:u w:val="single"/>
        </w:rPr>
        <w:t>view, or</w:t>
      </w:r>
      <w:r>
        <w:rPr>
          <w:b/>
          <w:i w:val="0"/>
          <w:smallCaps w:val="0"/>
          <w:strike w:val="0"/>
          <w:sz w:val="24"/>
          <w:u w:val="single"/>
        </w:rPr>
        <w:t xml:space="preserve"> argue that at least some human-assisted outputs of generative AI should be copyrightable. Related issues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(and ongoing litigation) </w:t>
      </w:r>
      <w:r>
        <w:rPr>
          <w:b/>
          <w:i w:val="0"/>
          <w:smallCaps w:val="0"/>
          <w:strike w:val="0"/>
          <w:sz w:val="24"/>
          <w:u w:val="single"/>
        </w:rPr>
        <w:t>include whether AI outputs or the use of material on the internet to “train” AI infringes the copyrights in existing works</w:t>
      </w:r>
      <w:r>
        <w:rPr>
          <w:b w:val="0"/>
          <w:i w:val="0"/>
          <w:smallCaps w:val="0"/>
          <w:strike w:val="0"/>
          <w:sz w:val="20"/>
          <w:u w:val="none"/>
        </w:rPr>
        <w:t>. (For more on these issues, see CRS Legal Sidebar LSB10922, Generative Artificial Intelligence and Copyright Law, by Christopher T. Zirpoli.)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