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Trademarks are legal rights consisting of words or symbols used to distinguish goods or services from those of competitors.</w:t>
      </w:r>
    </w:p>
    <w:p>
      <w:pPr>
        <w:spacing w:after="80"/>
      </w:pPr>
      <w:r>
        <w:rPr>
          <w:b/>
          <w:i w:val="0"/>
          <w:smallCaps w:val="0"/>
          <w:strike w:val="0"/>
          <w:sz w:val="26"/>
          <w:u w:val="none"/>
        </w:rPr>
        <w:t xml:space="preserve">Schechter and Thomas </w:t>
      </w:r>
      <w:r>
        <w:rPr>
          <w:b/>
          <w:i w:val="0"/>
          <w:smallCaps w:val="0"/>
          <w:strike w:val="0"/>
          <w:sz w:val="26"/>
          <w:u w:val="none"/>
        </w:rPr>
        <w:t xml:space="preserve">‘3 </w:t>
      </w:r>
      <w:r>
        <w:rPr>
          <w:b w:val="0"/>
          <w:i w:val="0"/>
          <w:smallCaps w:val="0"/>
          <w:strike w:val="0"/>
          <w:sz w:val="20"/>
          <w:u w:val="none"/>
        </w:rPr>
        <w:t>[</w:t>
      </w:r>
      <w:r>
        <w:rPr>
          <w:b w:val="0"/>
          <w:i w:val="0"/>
          <w:smallCaps w:val="0"/>
          <w:strike w:val="0"/>
          <w:sz w:val="20"/>
          <w:u w:val="none"/>
        </w:rPr>
        <w:t xml:space="preserve">Roger E. </w:t>
      </w:r>
      <w:r>
        <w:rPr>
          <w:b w:val="0"/>
          <w:i w:val="0"/>
          <w:smallCaps w:val="0"/>
          <w:strike w:val="0"/>
          <w:sz w:val="20"/>
          <w:u w:val="none"/>
        </w:rPr>
        <w:t>and John Thomas; 2003;</w:t>
      </w:r>
      <w:r>
        <w:rPr>
          <w:b w:val="0"/>
          <w:i w:val="0"/>
          <w:smallCaps w:val="0"/>
          <w:strike w:val="0"/>
          <w:sz w:val="20"/>
          <w:u w:val="none"/>
        </w:rPr>
        <w:t xml:space="preserve"> professor of law at George Washington University</w:t>
      </w:r>
      <w:r>
        <w:rPr>
          <w:b w:val="0"/>
          <w:i w:val="0"/>
          <w:smallCaps w:val="0"/>
          <w:strike w:val="0"/>
          <w:sz w:val="20"/>
          <w:u w:val="none"/>
        </w:rPr>
        <w:t xml:space="preserve">; </w:t>
      </w:r>
      <w:r>
        <w:rPr>
          <w:b w:val="0"/>
          <w:i w:val="0"/>
          <w:smallCaps w:val="0"/>
          <w:strike w:val="0"/>
          <w:sz w:val="20"/>
          <w:u w:val="none"/>
        </w:rPr>
        <w:t>professor of law at Georgetown University</w:t>
      </w:r>
      <w:r>
        <w:rPr>
          <w:b w:val="0"/>
          <w:i w:val="0"/>
          <w:smallCaps w:val="0"/>
          <w:strike w:val="0"/>
          <w:sz w:val="20"/>
          <w:u w:val="none"/>
        </w:rPr>
        <w:t xml:space="preserve">; Intellectual Property: The Law of Copyrights, Patents and Trademarks, </w:t>
      </w:r>
      <w:r>
        <w:rPr>
          <w:b w:val="0"/>
          <w:i w:val="0"/>
          <w:smallCaps w:val="0"/>
          <w:strike w:val="0"/>
          <w:sz w:val="20"/>
          <w:u w:val="none"/>
        </w:rPr>
        <w:t>“Introduction to Intellectual Property,” West Group</w:t>
      </w:r>
      <w:r>
        <w:rPr>
          <w:b w:val="0"/>
          <w:i w:val="0"/>
          <w:smallCaps w:val="0"/>
          <w:strike w:val="0"/>
          <w:sz w:val="20"/>
          <w:u w:val="none"/>
        </w:rPr>
        <w:t>]</w:t>
      </w:r>
    </w:p>
    <w:p>
      <w:pPr>
        <w:spacing w:after="60"/>
      </w:pPr>
      <w:r>
        <w:rPr>
          <w:b/>
          <w:i w:val="0"/>
          <w:smallCaps w:val="0"/>
          <w:strike w:val="0"/>
          <w:sz w:val="24"/>
          <w:u w:val="single"/>
        </w:rPr>
        <w:t>Trademarks</w:t>
      </w:r>
      <w:r>
        <w:rPr>
          <w:b/>
          <w:i w:val="0"/>
          <w:smallCaps w:val="0"/>
          <w:strike w:val="0"/>
          <w:sz w:val="24"/>
          <w:u w:val="single"/>
        </w:rPr>
        <w:t xml:space="preserve"> consist of any </w:t>
      </w:r>
      <w:r>
        <w:rPr>
          <w:b/>
          <w:i w:val="0"/>
          <w:smallCaps w:val="0"/>
          <w:strike w:val="0"/>
          <w:sz w:val="24"/>
          <w:u w:val="single"/>
        </w:rPr>
        <w:t>word</w:t>
      </w:r>
      <w:r>
        <w:rPr>
          <w:b/>
          <w:i w:val="0"/>
          <w:smallCaps w:val="0"/>
          <w:strike w:val="0"/>
          <w:sz w:val="24"/>
          <w:u w:val="single"/>
        </w:rPr>
        <w:t xml:space="preserve"> or </w:t>
      </w:r>
      <w:r>
        <w:rPr>
          <w:b/>
          <w:i w:val="0"/>
          <w:smallCaps w:val="0"/>
          <w:strike w:val="0"/>
          <w:sz w:val="24"/>
          <w:u w:val="single"/>
        </w:rPr>
        <w:t>symbol</w:t>
      </w:r>
      <w:r>
        <w:rPr>
          <w:b/>
          <w:i w:val="0"/>
          <w:smallCaps w:val="0"/>
          <w:strike w:val="0"/>
          <w:sz w:val="24"/>
          <w:u w:val="single"/>
        </w:rPr>
        <w:t xml:space="preserve"> used by a </w:t>
      </w:r>
      <w:r>
        <w:rPr>
          <w:b/>
          <w:i w:val="0"/>
          <w:smallCaps w:val="0"/>
          <w:strike w:val="0"/>
          <w:sz w:val="24"/>
          <w:u w:val="single"/>
        </w:rPr>
        <w:t>merchant</w:t>
      </w:r>
      <w:r>
        <w:rPr>
          <w:b/>
          <w:i w:val="0"/>
          <w:smallCaps w:val="0"/>
          <w:strike w:val="0"/>
          <w:sz w:val="24"/>
          <w:u w:val="single"/>
        </w:rPr>
        <w:t xml:space="preserve"> to </w:t>
      </w:r>
      <w:r>
        <w:rPr>
          <w:b/>
          <w:i w:val="0"/>
          <w:smallCaps w:val="0"/>
          <w:strike w:val="0"/>
          <w:sz w:val="24"/>
          <w:u w:val="single"/>
        </w:rPr>
        <w:t>identify</w:t>
      </w:r>
      <w:r>
        <w:rPr>
          <w:b/>
          <w:i w:val="0"/>
          <w:smallCaps w:val="0"/>
          <w:strike w:val="0"/>
          <w:sz w:val="24"/>
          <w:u w:val="single"/>
        </w:rPr>
        <w:t xml:space="preserve"> its </w:t>
      </w:r>
      <w:r>
        <w:rPr>
          <w:b/>
          <w:i w:val="0"/>
          <w:smallCaps w:val="0"/>
          <w:strike w:val="0"/>
          <w:sz w:val="24"/>
          <w:u w:val="single"/>
        </w:rPr>
        <w:t>goods</w:t>
      </w:r>
      <w:r>
        <w:rPr>
          <w:b/>
          <w:i w:val="0"/>
          <w:smallCaps w:val="0"/>
          <w:strike w:val="0"/>
          <w:sz w:val="24"/>
          <w:u w:val="single"/>
        </w:rPr>
        <w:t xml:space="preserve"> or </w:t>
      </w:r>
      <w:r>
        <w:rPr>
          <w:b/>
          <w:i w:val="0"/>
          <w:smallCaps w:val="0"/>
          <w:strike w:val="0"/>
          <w:sz w:val="24"/>
          <w:u w:val="single"/>
        </w:rPr>
        <w:t>services</w:t>
      </w:r>
      <w:r>
        <w:rPr>
          <w:b/>
          <w:i w:val="0"/>
          <w:smallCaps w:val="0"/>
          <w:strike w:val="0"/>
          <w:sz w:val="24"/>
          <w:u w:val="single"/>
        </w:rPr>
        <w:t xml:space="preserve">, and to </w:t>
      </w:r>
      <w:r>
        <w:rPr>
          <w:b/>
          <w:i w:val="0"/>
          <w:smallCaps w:val="0"/>
          <w:strike w:val="0"/>
          <w:sz w:val="24"/>
          <w:u w:val="single"/>
        </w:rPr>
        <w:t>distinguish</w:t>
      </w:r>
      <w:r>
        <w:rPr>
          <w:b/>
          <w:i w:val="0"/>
          <w:smallCaps w:val="0"/>
          <w:strike w:val="0"/>
          <w:sz w:val="24"/>
          <w:u w:val="single"/>
        </w:rPr>
        <w:t xml:space="preserve"> them from those of </w:t>
      </w:r>
      <w:r>
        <w:rPr>
          <w:b/>
          <w:i w:val="0"/>
          <w:smallCaps w:val="0"/>
          <w:strike w:val="0"/>
          <w:sz w:val="24"/>
          <w:u w:val="single"/>
        </w:rPr>
        <w:t>others</w:t>
      </w:r>
      <w:r>
        <w:rPr>
          <w:b w:val="0"/>
          <w:i w:val="0"/>
          <w:smallCaps w:val="0"/>
          <w:strike w:val="0"/>
          <w:sz w:val="16"/>
          <w:u w:val="none"/>
        </w:rPr>
        <w:t xml:space="preserve">.21 </w:t>
      </w:r>
      <w:r>
        <w:rPr>
          <w:b/>
          <w:i w:val="0"/>
          <w:smallCaps w:val="0"/>
          <w:strike w:val="0"/>
          <w:sz w:val="24"/>
          <w:u w:val="single"/>
        </w:rPr>
        <w:t xml:space="preserve">To be </w:t>
      </w:r>
      <w:r>
        <w:rPr>
          <w:b/>
          <w:i w:val="0"/>
          <w:smallCaps w:val="0"/>
          <w:strike w:val="0"/>
          <w:sz w:val="24"/>
          <w:u w:val="single"/>
        </w:rPr>
        <w:t>subject</w:t>
      </w:r>
      <w:r>
        <w:rPr>
          <w:b/>
          <w:i w:val="0"/>
          <w:smallCaps w:val="0"/>
          <w:strike w:val="0"/>
          <w:sz w:val="24"/>
          <w:u w:val="single"/>
        </w:rPr>
        <w:t xml:space="preserve"> to </w:t>
      </w:r>
      <w:r>
        <w:rPr>
          <w:b/>
          <w:i w:val="0"/>
          <w:smallCaps w:val="0"/>
          <w:strike w:val="0"/>
          <w:sz w:val="24"/>
          <w:u w:val="single"/>
        </w:rPr>
        <w:t>protection</w:t>
      </w:r>
      <w:r>
        <w:rPr>
          <w:b/>
          <w:i w:val="0"/>
          <w:smallCaps w:val="0"/>
          <w:strike w:val="0"/>
          <w:sz w:val="24"/>
          <w:u w:val="single"/>
        </w:rPr>
        <w:t xml:space="preserve"> under the trademark laws, a mark must </w:t>
      </w:r>
      <w:r>
        <w:rPr>
          <w:b/>
          <w:i w:val="0"/>
          <w:smallCaps w:val="0"/>
          <w:strike w:val="0"/>
          <w:sz w:val="24"/>
          <w:u w:val="single"/>
        </w:rPr>
        <w:t>successfully distinguish</w:t>
      </w:r>
      <w:r>
        <w:rPr>
          <w:b/>
          <w:i w:val="0"/>
          <w:smallCaps w:val="0"/>
          <w:strike w:val="0"/>
          <w:sz w:val="24"/>
          <w:u w:val="single"/>
        </w:rPr>
        <w:t xml:space="preserve"> the </w:t>
      </w:r>
      <w:r>
        <w:rPr>
          <w:b/>
          <w:i w:val="0"/>
          <w:smallCaps w:val="0"/>
          <w:strike w:val="0"/>
          <w:sz w:val="24"/>
          <w:u w:val="single"/>
        </w:rPr>
        <w:t>origins</w:t>
      </w:r>
      <w:r>
        <w:rPr>
          <w:b/>
          <w:i w:val="0"/>
          <w:smallCaps w:val="0"/>
          <w:strike w:val="0"/>
          <w:sz w:val="24"/>
          <w:u w:val="single"/>
        </w:rPr>
        <w:t xml:space="preserve"> of its </w:t>
      </w:r>
      <w:r>
        <w:rPr>
          <w:b/>
          <w:i w:val="0"/>
          <w:smallCaps w:val="0"/>
          <w:strike w:val="0"/>
          <w:sz w:val="24"/>
          <w:u w:val="single"/>
        </w:rPr>
        <w:t>associated goods</w:t>
      </w:r>
      <w:r>
        <w:rPr>
          <w:b/>
          <w:i w:val="0"/>
          <w:smallCaps w:val="0"/>
          <w:strike w:val="0"/>
          <w:sz w:val="24"/>
          <w:u w:val="single"/>
        </w:rPr>
        <w:t xml:space="preserve">, and </w:t>
      </w:r>
      <w:r>
        <w:rPr>
          <w:b/>
          <w:i w:val="0"/>
          <w:smallCaps w:val="0"/>
          <w:strike w:val="0"/>
          <w:sz w:val="24"/>
          <w:u w:val="single"/>
        </w:rPr>
        <w:t>not</w:t>
      </w:r>
      <w:r>
        <w:rPr>
          <w:b/>
          <w:i w:val="0"/>
          <w:smallCaps w:val="0"/>
          <w:strike w:val="0"/>
          <w:sz w:val="24"/>
          <w:u w:val="single"/>
        </w:rPr>
        <w:t xml:space="preserve"> be </w:t>
      </w:r>
      <w:r>
        <w:rPr>
          <w:b/>
          <w:i w:val="0"/>
          <w:smallCaps w:val="0"/>
          <w:strike w:val="0"/>
          <w:sz w:val="24"/>
          <w:u w:val="single"/>
        </w:rPr>
        <w:t>confusingly similar</w:t>
      </w:r>
      <w:r>
        <w:rPr>
          <w:b/>
          <w:i w:val="0"/>
          <w:smallCaps w:val="0"/>
          <w:strike w:val="0"/>
          <w:sz w:val="24"/>
          <w:u w:val="single"/>
        </w:rPr>
        <w:t xml:space="preserve"> to marks used by others or </w:t>
      </w:r>
      <w:r>
        <w:rPr>
          <w:b/>
          <w:i w:val="0"/>
          <w:smallCaps w:val="0"/>
          <w:strike w:val="0"/>
          <w:sz w:val="24"/>
          <w:u w:val="single"/>
        </w:rPr>
        <w:t>merely describe</w:t>
      </w:r>
      <w:r>
        <w:rPr>
          <w:b/>
          <w:i w:val="0"/>
          <w:smallCaps w:val="0"/>
          <w:strike w:val="0"/>
          <w:sz w:val="24"/>
          <w:u w:val="single"/>
        </w:rPr>
        <w:t xml:space="preserve"> the </w:t>
      </w:r>
      <w:r>
        <w:rPr>
          <w:b/>
          <w:i w:val="0"/>
          <w:smallCaps w:val="0"/>
          <w:strike w:val="0"/>
          <w:sz w:val="24"/>
          <w:u w:val="single"/>
        </w:rPr>
        <w:t>characteristics</w:t>
      </w:r>
      <w:r>
        <w:rPr>
          <w:b/>
          <w:i w:val="0"/>
          <w:smallCaps w:val="0"/>
          <w:strike w:val="0"/>
          <w:sz w:val="24"/>
          <w:u w:val="single"/>
        </w:rPr>
        <w:t xml:space="preserve"> of those goods</w:t>
      </w:r>
      <w:r>
        <w:rPr>
          <w:b w:val="0"/>
          <w:i w:val="0"/>
          <w:smallCaps w:val="0"/>
          <w:strike w:val="0"/>
          <w:sz w:val="16"/>
          <w:u w:val="none"/>
        </w:rPr>
        <w:t xml:space="preserve">.22 </w:t>
      </w:r>
      <w:r>
        <w:rPr>
          <w:b/>
          <w:i w:val="0"/>
          <w:smallCaps w:val="0"/>
          <w:strike w:val="0"/>
          <w:sz w:val="24"/>
          <w:u w:val="single"/>
        </w:rPr>
        <w:t xml:space="preserve">Trademark rights </w:t>
      </w:r>
      <w:r>
        <w:rPr>
          <w:b/>
          <w:i w:val="0"/>
          <w:smallCaps w:val="0"/>
          <w:strike w:val="0"/>
          <w:sz w:val="24"/>
          <w:u w:val="single"/>
        </w:rPr>
        <w:t>arise</w:t>
      </w:r>
      <w:r>
        <w:rPr>
          <w:b/>
          <w:i w:val="0"/>
          <w:smallCaps w:val="0"/>
          <w:strike w:val="0"/>
          <w:sz w:val="24"/>
          <w:u w:val="single"/>
        </w:rPr>
        <w:t xml:space="preserve"> under </w:t>
      </w:r>
      <w:r>
        <w:rPr>
          <w:b/>
          <w:i w:val="0"/>
          <w:smallCaps w:val="0"/>
          <w:strike w:val="0"/>
          <w:sz w:val="24"/>
          <w:u w:val="single"/>
        </w:rPr>
        <w:t>state law</w:t>
      </w:r>
      <w:r>
        <w:rPr>
          <w:b/>
          <w:i w:val="0"/>
          <w:smallCaps w:val="0"/>
          <w:strike w:val="0"/>
          <w:sz w:val="24"/>
          <w:u w:val="single"/>
        </w:rPr>
        <w:t xml:space="preserve"> as soon as the mark is used on goods in commerce</w:t>
      </w:r>
      <w:r>
        <w:rPr>
          <w:b w:val="0"/>
          <w:i w:val="0"/>
          <w:smallCaps w:val="0"/>
          <w:strike w:val="0"/>
          <w:sz w:val="16"/>
          <w:u w:val="none"/>
        </w:rPr>
        <w:t>.23 However, trademarks may be registered with the PTO, a step that affords significant substantive and procedural advantages.24 Trademark law also protects the appearance of product packaging and, in some cases, the actual physical configuration of the goods, if these serve as brand identifiers. A trademark owner may prevent others from using any mark that creates a likelihood of confusion as to the source or sponsorship of the associated goods or services.25 Trademark rights persist so long as the mark continues to be used and retains its distinctiveness.26</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