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Trademarks protect </w:t>
      </w:r>
      <w:r>
        <w:rPr>
          <w:b/>
          <w:i w:val="0"/>
          <w:smallCaps w:val="0"/>
          <w:strike w:val="0"/>
          <w:sz w:val="26"/>
          <w:u w:val="single"/>
        </w:rPr>
        <w:t>distinctive features</w:t>
      </w:r>
      <w:r>
        <w:rPr>
          <w:b/>
          <w:i w:val="0"/>
          <w:smallCaps w:val="0"/>
          <w:strike w:val="0"/>
          <w:sz w:val="26"/>
          <w:u w:val="none"/>
        </w:rPr>
        <w:t xml:space="preserve"> of goods and services.</w:t>
      </w:r>
    </w:p>
    <w:p>
      <w:pPr>
        <w:spacing w:after="80"/>
      </w:pPr>
      <w:r>
        <w:rPr>
          <w:b/>
          <w:i w:val="0"/>
          <w:smallCaps w:val="0"/>
          <w:strike w:val="0"/>
          <w:sz w:val="26"/>
          <w:u w:val="none"/>
        </w:rPr>
        <w:t>GULC N.D.</w:t>
      </w:r>
      <w:r>
        <w:rPr>
          <w:b w:val="0"/>
          <w:i w:val="0"/>
          <w:smallCaps w:val="0"/>
          <w:strike w:val="0"/>
          <w:sz w:val="20"/>
          <w:u w:val="none"/>
        </w:rPr>
        <w:t xml:space="preserve"> – Georgetown University Law Center.</w:t>
      </w:r>
    </w:p>
    <w:p>
      <w:pPr>
        <w:spacing w:after="60"/>
      </w:pPr>
      <w:r>
        <w:rPr>
          <w:b/>
          <w:i w:val="0"/>
          <w:smallCaps w:val="0"/>
          <w:strike w:val="0"/>
          <w:sz w:val="26"/>
          <w:u w:val="none"/>
        </w:rPr>
        <w:t xml:space="preserve">Schechter and Thomas </w:t>
      </w:r>
      <w:r>
        <w:rPr>
          <w:b/>
          <w:i w:val="0"/>
          <w:smallCaps w:val="0"/>
          <w:strike w:val="0"/>
          <w:sz w:val="26"/>
          <w:u w:val="none"/>
        </w:rPr>
        <w:t xml:space="preserve">‘3 </w:t>
      </w:r>
      <w:r>
        <w:rPr>
          <w:b w:val="0"/>
          <w:i w:val="0"/>
          <w:smallCaps w:val="0"/>
          <w:strike w:val="0"/>
          <w:sz w:val="20"/>
          <w:u w:val="none"/>
        </w:rPr>
        <w:t>[</w:t>
      </w:r>
      <w:r>
        <w:rPr>
          <w:b w:val="0"/>
          <w:i w:val="0"/>
          <w:smallCaps w:val="0"/>
          <w:strike w:val="0"/>
          <w:sz w:val="20"/>
          <w:u w:val="none"/>
        </w:rPr>
        <w:t xml:space="preserve">Roger E. </w:t>
      </w:r>
      <w:r>
        <w:rPr>
          <w:b w:val="0"/>
          <w:i w:val="0"/>
          <w:smallCaps w:val="0"/>
          <w:strike w:val="0"/>
          <w:sz w:val="20"/>
          <w:u w:val="none"/>
        </w:rPr>
        <w:t>and John Thomas; 2003;</w:t>
      </w:r>
      <w:r>
        <w:rPr>
          <w:b w:val="0"/>
          <w:i w:val="0"/>
          <w:smallCaps w:val="0"/>
          <w:strike w:val="0"/>
          <w:sz w:val="20"/>
          <w:u w:val="none"/>
        </w:rPr>
        <w:t xml:space="preserve"> professor of law at George Washington University</w:t>
      </w:r>
      <w:r>
        <w:rPr>
          <w:b w:val="0"/>
          <w:i w:val="0"/>
          <w:smallCaps w:val="0"/>
          <w:strike w:val="0"/>
          <w:sz w:val="20"/>
          <w:u w:val="none"/>
        </w:rPr>
        <w:t xml:space="preserve">; </w:t>
      </w:r>
      <w:r>
        <w:rPr>
          <w:b w:val="0"/>
          <w:i w:val="0"/>
          <w:smallCaps w:val="0"/>
          <w:strike w:val="0"/>
          <w:sz w:val="20"/>
          <w:u w:val="none"/>
        </w:rPr>
        <w:t>professor of law at Georgetown University</w:t>
      </w:r>
      <w:r>
        <w:rPr>
          <w:b w:val="0"/>
          <w:i w:val="0"/>
          <w:smallCaps w:val="0"/>
          <w:strike w:val="0"/>
          <w:sz w:val="20"/>
          <w:u w:val="none"/>
        </w:rPr>
        <w:t xml:space="preserve">; Intellectual Property: The Law of Copyrights, Patents and Trademarks, </w:t>
      </w:r>
      <w:r>
        <w:rPr>
          <w:b w:val="0"/>
          <w:i w:val="0"/>
          <w:smallCaps w:val="0"/>
          <w:strike w:val="0"/>
          <w:sz w:val="20"/>
          <w:u w:val="none"/>
        </w:rPr>
        <w:t>“Introduction to Intellectual Property,” West Group</w:t>
      </w:r>
      <w:r>
        <w:rPr>
          <w:b w:val="0"/>
          <w:i w:val="0"/>
          <w:smallCaps w:val="0"/>
          <w:strike w:val="0"/>
          <w:sz w:val="20"/>
          <w:u w:val="none"/>
        </w:rPr>
        <w:t>]</w:t>
      </w:r>
    </w:p>
    <w:p>
      <w:pPr>
        <w:spacing w:after="60"/>
      </w:pPr>
      <w:r>
        <w:rPr>
          <w:b/>
          <w:i w:val="0"/>
          <w:smallCaps w:val="0"/>
          <w:strike w:val="0"/>
          <w:sz w:val="24"/>
          <w:u w:val="single"/>
        </w:rPr>
        <w:t>Trademark law</w:t>
      </w:r>
      <w:r>
        <w:rPr>
          <w:b/>
          <w:i w:val="0"/>
          <w:smallCaps w:val="0"/>
          <w:strike w:val="0"/>
          <w:sz w:val="24"/>
          <w:u w:val="single"/>
        </w:rPr>
        <w:t xml:space="preserve"> protects a </w:t>
      </w:r>
      <w:r>
        <w:rPr>
          <w:b/>
          <w:i w:val="0"/>
          <w:smallCaps w:val="0"/>
          <w:strike w:val="0"/>
          <w:sz w:val="24"/>
          <w:u w:val="single"/>
        </w:rPr>
        <w:t>word</w:t>
      </w:r>
      <w:r>
        <w:rPr>
          <w:b/>
          <w:i w:val="0"/>
          <w:smallCaps w:val="0"/>
          <w:strike w:val="0"/>
          <w:sz w:val="24"/>
          <w:u w:val="single"/>
        </w:rPr>
        <w:t xml:space="preserve">, </w:t>
      </w:r>
      <w:r>
        <w:rPr>
          <w:b/>
          <w:i w:val="0"/>
          <w:smallCaps w:val="0"/>
          <w:strike w:val="0"/>
          <w:sz w:val="24"/>
          <w:u w:val="single"/>
        </w:rPr>
        <w:t>phrase</w:t>
      </w:r>
      <w:r>
        <w:rPr>
          <w:b/>
          <w:i w:val="0"/>
          <w:smallCaps w:val="0"/>
          <w:strike w:val="0"/>
          <w:sz w:val="24"/>
          <w:u w:val="single"/>
        </w:rPr>
        <w:t xml:space="preserve">, </w:t>
      </w:r>
      <w:r>
        <w:rPr>
          <w:b/>
          <w:i w:val="0"/>
          <w:smallCaps w:val="0"/>
          <w:strike w:val="0"/>
          <w:sz w:val="24"/>
          <w:u w:val="single"/>
        </w:rPr>
        <w:t>symbol</w:t>
      </w:r>
      <w:r>
        <w:rPr>
          <w:b/>
          <w:i w:val="0"/>
          <w:smallCaps w:val="0"/>
          <w:strike w:val="0"/>
          <w:sz w:val="24"/>
          <w:u w:val="single"/>
        </w:rPr>
        <w:t xml:space="preserve"> or </w:t>
      </w:r>
      <w:r>
        <w:rPr>
          <w:b/>
          <w:i w:val="0"/>
          <w:smallCaps w:val="0"/>
          <w:strike w:val="0"/>
          <w:sz w:val="24"/>
          <w:u w:val="single"/>
        </w:rPr>
        <w:t>design</w:t>
      </w:r>
      <w:r>
        <w:rPr>
          <w:b/>
          <w:i w:val="0"/>
          <w:smallCaps w:val="0"/>
          <w:strike w:val="0"/>
          <w:sz w:val="24"/>
          <w:u w:val="single"/>
        </w:rPr>
        <w:t xml:space="preserve"> that is used by an entity to </w:t>
      </w:r>
      <w:r>
        <w:rPr>
          <w:b/>
          <w:i w:val="0"/>
          <w:smallCaps w:val="0"/>
          <w:strike w:val="0"/>
          <w:sz w:val="24"/>
          <w:u w:val="single"/>
        </w:rPr>
        <w:t>identify</w:t>
      </w:r>
      <w:r>
        <w:rPr>
          <w:b/>
          <w:i w:val="0"/>
          <w:smallCaps w:val="0"/>
          <w:strike w:val="0"/>
          <w:sz w:val="24"/>
          <w:u w:val="single"/>
        </w:rPr>
        <w:t xml:space="preserve"> its </w:t>
      </w:r>
      <w:r>
        <w:rPr>
          <w:b/>
          <w:i w:val="0"/>
          <w:smallCaps w:val="0"/>
          <w:strike w:val="0"/>
          <w:sz w:val="24"/>
          <w:u w:val="single"/>
        </w:rPr>
        <w:t>product</w:t>
      </w:r>
      <w:r>
        <w:rPr>
          <w:b/>
          <w:i w:val="0"/>
          <w:smallCaps w:val="0"/>
          <w:strike w:val="0"/>
          <w:sz w:val="24"/>
          <w:u w:val="single"/>
        </w:rPr>
        <w:t xml:space="preserve"> or </w:t>
      </w:r>
      <w:r>
        <w:rPr>
          <w:b/>
          <w:i w:val="0"/>
          <w:smallCaps w:val="0"/>
          <w:strike w:val="0"/>
          <w:sz w:val="24"/>
          <w:u w:val="single"/>
        </w:rPr>
        <w:t>service</w:t>
      </w:r>
      <w:r>
        <w:rPr>
          <w:b/>
          <w:i w:val="0"/>
          <w:smallCaps w:val="0"/>
          <w:strike w:val="0"/>
          <w:sz w:val="24"/>
          <w:u w:val="single"/>
        </w:rPr>
        <w:t xml:space="preserve">. </w:t>
      </w:r>
      <w:r>
        <w:rPr>
          <w:b/>
          <w:i w:val="0"/>
          <w:smallCaps w:val="0"/>
          <w:strike w:val="0"/>
          <w:sz w:val="24"/>
          <w:u w:val="single"/>
        </w:rPr>
        <w:t>Examples</w:t>
      </w:r>
      <w:r>
        <w:rPr>
          <w:b/>
          <w:i w:val="0"/>
          <w:smallCaps w:val="0"/>
          <w:strike w:val="0"/>
          <w:sz w:val="24"/>
          <w:u w:val="single"/>
        </w:rPr>
        <w:t xml:space="preserve"> are </w:t>
      </w:r>
      <w:r>
        <w:rPr>
          <w:b/>
          <w:i w:val="0"/>
          <w:smallCaps w:val="0"/>
          <w:strike w:val="0"/>
          <w:sz w:val="24"/>
          <w:u w:val="single"/>
        </w:rPr>
        <w:t>Dunkin Donuts orange</w:t>
      </w:r>
      <w:r>
        <w:rPr>
          <w:b/>
          <w:i w:val="0"/>
          <w:smallCaps w:val="0"/>
          <w:strike w:val="0"/>
          <w:sz w:val="24"/>
          <w:u w:val="single"/>
        </w:rPr>
        <w:t xml:space="preserve"> and pink sausage style lettering, </w:t>
      </w:r>
      <w:r>
        <w:rPr>
          <w:b/>
          <w:i w:val="0"/>
          <w:smallCaps w:val="0"/>
          <w:strike w:val="0"/>
          <w:sz w:val="24"/>
          <w:u w:val="single"/>
        </w:rPr>
        <w:t>Apple’s apple logo</w:t>
      </w:r>
      <w:r>
        <w:rPr>
          <w:b/>
          <w:i w:val="0"/>
          <w:smallCaps w:val="0"/>
          <w:strike w:val="0"/>
          <w:sz w:val="24"/>
          <w:u w:val="single"/>
        </w:rPr>
        <w:t xml:space="preserve">, and </w:t>
      </w:r>
      <w:r>
        <w:rPr>
          <w:b/>
          <w:i w:val="0"/>
          <w:smallCaps w:val="0"/>
          <w:strike w:val="0"/>
          <w:sz w:val="24"/>
          <w:u w:val="single"/>
        </w:rPr>
        <w:t>Adidas’ three stripes</w:t>
      </w:r>
      <w:r>
        <w:rPr>
          <w:b w:val="0"/>
          <w:i w:val="0"/>
          <w:smallCaps w:val="0"/>
          <w:strike w:val="0"/>
          <w:sz w:val="16"/>
          <w:u w:val="none"/>
        </w:rPr>
        <w:t xml:space="preserve">. Trademark owners can prevent others from using their marks, or marks which are confusingly similar so that consumers would not be able to identify the source. Federal and state laws govern </w:t>
      </w:r>
      <w:r>
        <w:rPr>
          <w:b w:val="0"/>
          <w:i w:val="0"/>
          <w:smallCaps w:val="0"/>
          <w:strike w:val="0"/>
          <w:sz w:val="16"/>
          <w:u w:val="none"/>
        </w:rPr>
        <w:t>trademarks</w:t>
      </w:r>
      <w:r>
        <w:rPr>
          <w:b w:val="0"/>
          <w:i w:val="0"/>
          <w:smallCaps w:val="0"/>
          <w:strike w:val="0"/>
          <w:sz w:val="16"/>
          <w:u w:val="none"/>
        </w:rPr>
        <w:t xml:space="preserve"> but the Lanham Act is the primary source of trademark protection. These laws protect against infringement and dilution. Rights in trademarks are gained by being the first to use a trademark in commerce or being the first to register the mark with the United States Patent and Trademark Office.</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