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Reject</w:t>
      </w:r>
      <w:r>
        <w:rPr>
          <w:b/>
          <w:i w:val="0"/>
          <w:smallCaps w:val="0"/>
          <w:strike w:val="0"/>
          <w:sz w:val="26"/>
          <w:u w:val="none"/>
        </w:rPr>
        <w:t xml:space="preserve"> interpretations that make words </w:t>
      </w:r>
      <w:r>
        <w:rPr>
          <w:b/>
          <w:i w:val="0"/>
          <w:smallCaps w:val="0"/>
          <w:strike w:val="0"/>
          <w:sz w:val="26"/>
          <w:u w:val="single"/>
        </w:rPr>
        <w:t>redundant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Scalia ’12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[Antonin Scalia and Bryan Garner; 2012; Justice on the Supreme Court of the United States; American lawyer, lexicographer, and teacher; Reading Law: The Interpretation of Legal Texts, “Surplusage Canon,” Ch. 26]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If </w:t>
      </w:r>
      <w:r>
        <w:rPr>
          <w:b/>
          <w:i w:val="0"/>
          <w:smallCaps w:val="0"/>
          <w:strike w:val="0"/>
          <w:sz w:val="24"/>
          <w:u w:val="single"/>
        </w:rPr>
        <w:t>possible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every word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every provision </w:t>
      </w:r>
      <w:r>
        <w:rPr>
          <w:b/>
          <w:i w:val="0"/>
          <w:smallCaps w:val="0"/>
          <w:strike w:val="0"/>
          <w:sz w:val="24"/>
          <w:u w:val="single"/>
        </w:rPr>
        <w:t xml:space="preserve">is to be </w:t>
      </w:r>
      <w:r>
        <w:rPr>
          <w:b/>
          <w:i w:val="0"/>
          <w:smallCaps w:val="0"/>
          <w:strike w:val="0"/>
          <w:sz w:val="24"/>
          <w:u w:val="single"/>
        </w:rPr>
        <w:t>given 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verba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cum </w:t>
      </w:r>
      <w:r>
        <w:rPr>
          <w:b w:val="0"/>
          <w:i w:val="0"/>
          <w:smallCaps w:val="0"/>
          <w:strike w:val="0"/>
          <w:sz w:val="16"/>
          <w:u w:val="none"/>
        </w:rPr>
        <w:t>effectu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sunt accipienda1). </w:t>
      </w:r>
      <w:r>
        <w:rPr>
          <w:b/>
          <w:i w:val="0"/>
          <w:smallCaps w:val="0"/>
          <w:strike w:val="0"/>
          <w:sz w:val="24"/>
          <w:u w:val="single"/>
        </w:rPr>
        <w:t>None</w:t>
      </w:r>
      <w:r>
        <w:rPr>
          <w:b/>
          <w:i w:val="0"/>
          <w:smallCaps w:val="0"/>
          <w:strike w:val="0"/>
          <w:sz w:val="24"/>
          <w:u w:val="single"/>
        </w:rPr>
        <w:t xml:space="preserve"> should be ignored. None should </w:t>
      </w:r>
      <w:r>
        <w:rPr>
          <w:b/>
          <w:i w:val="0"/>
          <w:smallCaps w:val="0"/>
          <w:strike w:val="0"/>
          <w:sz w:val="24"/>
          <w:u w:val="single"/>
        </w:rPr>
        <w:t>needlessly</w:t>
      </w:r>
      <w:r>
        <w:rPr>
          <w:b/>
          <w:i w:val="0"/>
          <w:smallCaps w:val="0"/>
          <w:strike w:val="0"/>
          <w:sz w:val="24"/>
          <w:u w:val="single"/>
        </w:rPr>
        <w:t xml:space="preserve"> be given an interpretation that causes it to </w:t>
      </w:r>
      <w:r>
        <w:rPr>
          <w:b/>
          <w:i w:val="0"/>
          <w:smallCaps w:val="0"/>
          <w:strike w:val="0"/>
          <w:sz w:val="24"/>
          <w:u w:val="single"/>
        </w:rPr>
        <w:t>duplicate</w:t>
      </w:r>
      <w:r>
        <w:rPr>
          <w:b/>
          <w:i w:val="0"/>
          <w:smallCaps w:val="0"/>
          <w:strike w:val="0"/>
          <w:sz w:val="24"/>
          <w:u w:val="single"/>
        </w:rPr>
        <w:t xml:space="preserve"> another provision or to have </w:t>
      </w:r>
      <w:r>
        <w:rPr>
          <w:b/>
          <w:i w:val="0"/>
          <w:smallCaps w:val="0"/>
          <w:strike w:val="0"/>
          <w:sz w:val="24"/>
          <w:u w:val="single"/>
        </w:rPr>
        <w:t>no consequence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“These </w:t>
      </w:r>
      <w:r>
        <w:rPr>
          <w:b/>
          <w:i w:val="0"/>
          <w:smallCaps w:val="0"/>
          <w:strike w:val="0"/>
          <w:sz w:val="24"/>
          <w:u w:val="single"/>
        </w:rPr>
        <w:t xml:space="preserve">words cannot be </w:t>
      </w:r>
      <w:r>
        <w:rPr>
          <w:b/>
          <w:i w:val="0"/>
          <w:smallCaps w:val="0"/>
          <w:strike w:val="0"/>
          <w:sz w:val="24"/>
          <w:u w:val="single"/>
        </w:rPr>
        <w:t>meaningless</w:t>
      </w:r>
      <w:r>
        <w:rPr>
          <w:b/>
          <w:i w:val="0"/>
          <w:smallCaps w:val="0"/>
          <w:strike w:val="0"/>
          <w:sz w:val="24"/>
          <w:u w:val="single"/>
        </w:rPr>
        <w:t xml:space="preserve">, else they would </w:t>
      </w:r>
      <w:r>
        <w:rPr>
          <w:b/>
          <w:i w:val="0"/>
          <w:smallCaps w:val="0"/>
          <w:strike w:val="0"/>
          <w:sz w:val="24"/>
          <w:u w:val="single"/>
        </w:rPr>
        <w:t>not have been used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United States v. Butler,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297 U.S. 1, 65 (1936) (per Roberts, J.).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surplusage canon holds that it is no more the court’s function to revise by subtraction than by addition. </w:t>
      </w:r>
      <w:r>
        <w:rPr>
          <w:b/>
          <w:i w:val="0"/>
          <w:smallCaps w:val="0"/>
          <w:strike w:val="0"/>
          <w:sz w:val="24"/>
          <w:u w:val="single"/>
        </w:rPr>
        <w:t>A provision that seems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court </w:t>
      </w:r>
      <w:r>
        <w:rPr>
          <w:b/>
          <w:i w:val="0"/>
          <w:smallCaps w:val="0"/>
          <w:strike w:val="0"/>
          <w:sz w:val="24"/>
          <w:u w:val="single"/>
        </w:rPr>
        <w:t>unjust or unfortunate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(creating the so-called casus male </w:t>
      </w:r>
      <w:r>
        <w:rPr>
          <w:b w:val="0"/>
          <w:i w:val="0"/>
          <w:smallCaps w:val="0"/>
          <w:strike w:val="0"/>
          <w:sz w:val="16"/>
          <w:u w:val="none"/>
        </w:rPr>
        <w:t>inclusus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4"/>
          <w:u w:val="single"/>
        </w:rPr>
        <w:t>must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nonetheless </w:t>
      </w:r>
      <w:r>
        <w:rPr>
          <w:b/>
          <w:i w:val="0"/>
          <w:smallCaps w:val="0"/>
          <w:strike w:val="0"/>
          <w:sz w:val="24"/>
          <w:u w:val="single"/>
        </w:rPr>
        <w:t>be given 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Chief Justice John Marshall explained: “It would be dangerous in the extreme, to infer from extrinsic circumstances, that a case for which the words of an instrument expressly provide, shall be exempted from its operation.”2 Or in the words of Thomas M. Cooley: “[T]he courts must . . . </w:t>
      </w:r>
      <w:r>
        <w:rPr>
          <w:b/>
          <w:i w:val="0"/>
          <w:smallCaps w:val="0"/>
          <w:strike w:val="0"/>
          <w:sz w:val="24"/>
          <w:u w:val="single"/>
        </w:rPr>
        <w:t>lean</w:t>
      </w:r>
      <w:r>
        <w:rPr>
          <w:b/>
          <w:i w:val="0"/>
          <w:smallCaps w:val="0"/>
          <w:strike w:val="0"/>
          <w:sz w:val="24"/>
          <w:u w:val="single"/>
        </w:rPr>
        <w:t xml:space="preserve"> in favor of a construction which will render </w:t>
      </w:r>
      <w:r>
        <w:rPr>
          <w:b/>
          <w:i w:val="0"/>
          <w:smallCaps w:val="0"/>
          <w:strike w:val="0"/>
          <w:sz w:val="24"/>
          <w:u w:val="single"/>
        </w:rPr>
        <w:t>every word operative</w:t>
      </w:r>
      <w:r>
        <w:rPr>
          <w:b/>
          <w:i w:val="0"/>
          <w:smallCaps w:val="0"/>
          <w:strike w:val="0"/>
          <w:sz w:val="24"/>
          <w:u w:val="single"/>
        </w:rPr>
        <w:t>, rather</w:t>
      </w:r>
      <w:r>
        <w:rPr>
          <w:b/>
          <w:i w:val="0"/>
          <w:smallCaps w:val="0"/>
          <w:strike w:val="0"/>
          <w:sz w:val="24"/>
          <w:u w:val="single"/>
        </w:rPr>
        <w:t xml:space="preserve"> than one which may make some </w:t>
      </w:r>
      <w:r>
        <w:rPr>
          <w:b/>
          <w:i w:val="0"/>
          <w:smallCaps w:val="0"/>
          <w:strike w:val="0"/>
          <w:sz w:val="24"/>
          <w:u w:val="single"/>
        </w:rPr>
        <w:t>idle and nugatory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.”3 </w:t>
      </w:r>
      <w:r>
        <w:rPr>
          <w:b/>
          <w:i w:val="0"/>
          <w:smallCaps w:val="0"/>
          <w:strike w:val="0"/>
          <w:sz w:val="24"/>
          <w:u w:val="single"/>
        </w:rPr>
        <w:t xml:space="preserve">This is true not just of legal texts but of </w:t>
      </w:r>
      <w:r>
        <w:rPr>
          <w:b/>
          <w:i w:val="0"/>
          <w:smallCaps w:val="0"/>
          <w:strike w:val="0"/>
          <w:sz w:val="24"/>
          <w:u w:val="single"/>
        </w:rPr>
        <w:t>all sensible writing</w:t>
      </w:r>
      <w:r>
        <w:rPr>
          <w:b w:val="0"/>
          <w:i w:val="0"/>
          <w:smallCaps w:val="0"/>
          <w:strike w:val="0"/>
          <w:sz w:val="16"/>
          <w:u w:val="none"/>
        </w:rPr>
        <w:t>: “Whenever a reading arbitrarily ignores linguistic components or inadequately accounts for them, the reading may be presumed improbable.”4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