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AND </w:t>
      </w:r>
      <w:r>
        <w:rPr>
          <w:b/>
          <w:i w:val="0"/>
          <w:smallCaps w:val="0"/>
          <w:strike w:val="0"/>
          <w:sz w:val="26"/>
          <w:u w:val="single"/>
        </w:rPr>
        <w:t>courts</w:t>
      </w:r>
      <w:r>
        <w:rPr>
          <w:b/>
          <w:i w:val="0"/>
          <w:smallCaps w:val="0"/>
          <w:strike w:val="0"/>
          <w:sz w:val="26"/>
          <w:u w:val="none"/>
        </w:rPr>
        <w:t xml:space="preserve"> will preempt.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Bebchuk ’14 </w:t>
      </w:r>
      <w:r>
        <w:rPr>
          <w:b w:val="0"/>
          <w:i w:val="0"/>
          <w:smallCaps w:val="0"/>
          <w:strike w:val="0"/>
          <w:u w:val="none"/>
        </w:rPr>
        <w:t>[Lucian and Robert Jackson; October 2014; William J. Friedman and Alicia Townsend Friedman Professor of Law, Economics, and Finance and Director of the Program on Corporate Governance, Harvard Law School; Professor of Law at Columbia Law School; Columbia Law Review, “Toward a Constitutional Review of the Poison Pill,” vol. 114]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We show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cases in which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federal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evaluated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constitutionality of state antitakeover statutes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raise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serious questions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validity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state-law rules authorizing the use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poison pill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Essay presents a systematic analysis of the possibility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these rules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preempted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the </w:t>
      </w:r>
      <w:r>
        <w:rPr>
          <w:b/>
          <w:i w:val="0"/>
          <w:smallCaps w:val="0"/>
          <w:strike w:val="0"/>
          <w:sz w:val="24"/>
          <w:u w:val="single"/>
        </w:rPr>
        <w:t>Williams Act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provides a framework for assessing preemption challenges to those rules. Litigation over the validity of these rules, we show, could have profound implications for the governance of American corporations.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literature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constitutionality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state antitakeover laws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quite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substantial</w:t>
      </w:r>
      <w:r>
        <w:rPr>
          <w:b w:val="0"/>
          <w:i w:val="0"/>
          <w:smallCaps w:val="0"/>
          <w:strike w:val="0"/>
          <w:sz w:val="16"/>
          <w:u w:val="none"/>
        </w:rPr>
        <w:t>. Indeed, more than one hundred law review articles have considered whether and how the Williams Act might preempt various state statutes that govern corporate takeovers. 4 Just four years ago, the Business Lawyer dedicated a symposium issue to analysis of whether the Williams Act preempts Delaware's business-combination statute. 5 Yet  [*1552]  this large literature has paid limited attention to the question whether the state-law rules with the most powerful antitakeover effect--the rules authorizing use of the poison pill-are preempted.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this Essay, we systematically analyze this question and conclude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is </w:t>
      </w:r>
      <w:r>
        <w:rPr>
          <w:b/>
          <w:i w:val="0"/>
          <w:smallCaps w:val="0"/>
          <w:strike w:val="0"/>
          <w:sz w:val="24"/>
          <w:u w:val="single"/>
        </w:rPr>
        <w:t>substantial doubt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to whether current state-law poison-pill rules are </w:t>
      </w:r>
      <w:r>
        <w:rPr>
          <w:b/>
          <w:i w:val="0"/>
          <w:smallCaps w:val="0"/>
          <w:strike w:val="0"/>
          <w:sz w:val="24"/>
          <w:u w:val="single"/>
        </w:rPr>
        <w:t>valid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we explain, these rules provide incumbents with an even more powerful antitakeover defense--and impose an even lengthier delay on tender offerors--than the state statutes that the federal courts have held to be invalid. </w:t>
      </w:r>
      <w:r>
        <w:rPr>
          <w:b w:val="0"/>
          <w:i w:val="0"/>
          <w:smallCaps w:val="0"/>
          <w:strike w:val="0"/>
          <w:sz w:val="22"/>
          <w:u w:val="single"/>
        </w:rPr>
        <w:t>The validity of state-law poison-pill rules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thus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should </w:t>
      </w:r>
      <w:r>
        <w:rPr>
          <w:b/>
          <w:i w:val="0"/>
          <w:smallCaps w:val="0"/>
          <w:strike w:val="0"/>
          <w:sz w:val="24"/>
          <w:u w:val="single"/>
        </w:rPr>
        <w:t>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 </w:t>
      </w:r>
      <w:r>
        <w:rPr>
          <w:b/>
          <w:i w:val="0"/>
          <w:smallCaps w:val="0"/>
          <w:strike w:val="0"/>
          <w:sz w:val="24"/>
          <w:u w:val="single"/>
        </w:rPr>
        <w:t>taken for granted</w:t>
      </w:r>
      <w:r>
        <w:rPr>
          <w:b w:val="0"/>
          <w:i w:val="0"/>
          <w:smallCaps w:val="0"/>
          <w:strike w:val="0"/>
          <w:sz w:val="16"/>
          <w:u w:val="none"/>
        </w:rPr>
        <w:t>, and we provide a framework for analyzing preemption challenges to these rules.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Using this framework, we discuss three alternative approaches that the federal courts may follow when faced with preemption challenges to the validity of state-law rules governing poison pills. This analysis shows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courts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likely to conclude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existing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state</w:t>
      </w:r>
      <w:r>
        <w:rPr>
          <w:b/>
          <w:i w:val="0"/>
          <w:smallCaps w:val="0"/>
          <w:strike w:val="0"/>
          <w:sz w:val="24"/>
          <w:u w:val="single"/>
        </w:rPr>
        <w:t xml:space="preserve">-law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poison-pill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rule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preempted</w:t>
      </w:r>
      <w:r>
        <w:rPr>
          <w:b w:val="0"/>
          <w:i w:val="0"/>
          <w:smallCaps w:val="0"/>
          <w:strike w:val="0"/>
          <w:sz w:val="16"/>
          <w:u w:val="none"/>
        </w:rPr>
        <w:t>. This Essay also examines what changes in existing state-law rules might make them more likely to survive constitutional scrutiny. We show that state corporate law that substantially limits the length of time during which a poison pill can be used to delay tender offers would be significantly more likely to withstand a preemption challenge than current state-law rules in this area.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