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fed’s </w:t>
      </w:r>
      <w:r>
        <w:rPr>
          <w:b/>
          <w:i w:val="0"/>
          <w:smallCaps w:val="0"/>
          <w:strike w:val="0"/>
          <w:sz w:val="26"/>
          <w:u w:val="single"/>
        </w:rPr>
        <w:t>well-positioned</w:t>
      </w:r>
      <w:r>
        <w:rPr>
          <w:b/>
          <w:i w:val="0"/>
          <w:smallCaps w:val="0"/>
          <w:strike w:val="0"/>
          <w:sz w:val="26"/>
          <w:u w:val="none"/>
        </w:rPr>
        <w:t xml:space="preserve"> to </w:t>
      </w:r>
      <w:r>
        <w:rPr>
          <w:b/>
          <w:i w:val="0"/>
          <w:smallCaps w:val="0"/>
          <w:strike w:val="0"/>
          <w:sz w:val="26"/>
          <w:u w:val="single"/>
        </w:rPr>
        <w:t>quash</w:t>
      </w:r>
      <w:r>
        <w:rPr>
          <w:b/>
          <w:i w:val="0"/>
          <w:smallCaps w:val="0"/>
          <w:strike w:val="0"/>
          <w:sz w:val="26"/>
          <w:u w:val="none"/>
        </w:rPr>
        <w:t xml:space="preserve"> resistance.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Gardner ’19 </w:t>
      </w:r>
      <w:r>
        <w:rPr>
          <w:b w:val="0"/>
          <w:i w:val="0"/>
          <w:smallCaps w:val="0"/>
          <w:strike w:val="0"/>
          <w:u w:val="none"/>
        </w:rPr>
        <w:t>[Trevor; 2019; Assistant Professor of Law at the University of Washington School of Law; Florida State University Law Review, “Right at Home: Modeling Sub-Federal Resistance as Criminal Justice Reform,” vol. 46]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All of this is simply to say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eral 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4"/>
          <w:u w:val="single"/>
        </w:rPr>
        <w:t>well-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positioned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aggressively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challenge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misconduct at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sub-federal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local governments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commit the administrative machinery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sub-federal government to controversial forms of federal criminal enforcement.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trouble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much of the current analysis of </w:t>
      </w:r>
      <w:r>
        <w:rPr>
          <w:b w:val="0"/>
          <w:i w:val="0"/>
          <w:smallCaps w:val="0"/>
          <w:strike w:val="0"/>
          <w:sz w:val="22"/>
          <w:u w:val="single"/>
        </w:rPr>
        <w:t>sub-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federal resistance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pursuit of criminal justice reform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that it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equates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withdrawal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support for federal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criminal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initiatives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the suspension of federal oversight of state and local police departments.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Obama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administration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successful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efforts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crack down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misconduct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 spite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sub-federal resistance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profiled in this Article offer another piece of evidence against this claim.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