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IRS enforcement is </w:t>
      </w:r>
      <w:r>
        <w:rPr>
          <w:b/>
          <w:i w:val="0"/>
          <w:smallCaps w:val="0"/>
          <w:strike w:val="0"/>
          <w:sz w:val="26"/>
          <w:u w:val="single"/>
        </w:rPr>
        <w:t>trashed</w:t>
      </w:r>
      <w:r>
        <w:rPr>
          <w:b/>
          <w:i w:val="0"/>
          <w:smallCaps w:val="0"/>
          <w:strike w:val="0"/>
          <w:sz w:val="26"/>
          <w:u w:val="none"/>
        </w:rPr>
        <w:t>.</w:t>
      </w:r>
    </w:p>
    <w:p>
      <w:pPr>
        <w:spacing w:after="80"/>
      </w:pPr>
      <w:r>
        <w:rPr>
          <w:b/>
          <w:i w:val="0"/>
          <w:smallCaps w:val="0"/>
          <w:strike w:val="0"/>
          <w:sz w:val="26"/>
          <w:u w:val="none"/>
        </w:rPr>
        <w:t xml:space="preserve">Huang ’20 </w:t>
      </w:r>
      <w:r>
        <w:rPr>
          <w:b w:val="0"/>
          <w:i w:val="0"/>
          <w:smallCaps w:val="0"/>
          <w:strike w:val="0"/>
          <w:u w:val="none"/>
        </w:rPr>
        <w:t>[Chye-Ching; February 11; Senior Director of Economic Policy of the Federal Fiscal Policy Team at the Center on Budget and Policy Priorities, LLM from Columbia Law School, Bachelor of Commerce in Economics from the University of Auckland; Center on Budget and Policy Priorities, “Depletion of IRS Enforcement Is Undermining the Tax Code,” https://www.cbpp.org/research/federal-tax/depletion-of-irs-enforcement-is-undermining-the-tax-code]</w:t>
      </w:r>
    </w:p>
    <w:p>
      <w:pPr>
        <w:spacing w:after="60"/>
      </w:pPr>
      <w:r>
        <w:rPr>
          <w:b w:val="0"/>
          <w:i w:val="0"/>
          <w:smallCaps w:val="0"/>
          <w:strike w:val="0"/>
          <w:sz w:val="16"/>
          <w:u w:val="none"/>
        </w:rPr>
        <w:t xml:space="preserve">There is, however, promising bipartisan recognition that </w:t>
      </w:r>
      <w:r>
        <w:rPr>
          <w:b w:val="0"/>
          <w:i w:val="0"/>
          <w:smallCaps w:val="0"/>
          <w:strike w:val="0"/>
          <w:sz w:val="22"/>
          <w:highlight w:val="cyan"/>
          <w:u w:val="single"/>
        </w:rPr>
        <w:t>IRS</w:t>
      </w:r>
      <w:r>
        <w:rPr>
          <w:b w:val="0"/>
          <w:i w:val="0"/>
          <w:smallCaps w:val="0"/>
          <w:strike w:val="0"/>
          <w:sz w:val="22"/>
          <w:u w:val="single"/>
        </w:rPr>
        <w:t xml:space="preserve"> enforcement </w:t>
      </w:r>
      <w:r>
        <w:rPr>
          <w:b w:val="0"/>
          <w:i w:val="0"/>
          <w:smallCaps w:val="0"/>
          <w:strike w:val="0"/>
          <w:sz w:val="22"/>
          <w:highlight w:val="cyan"/>
          <w:u w:val="single"/>
        </w:rPr>
        <w:t xml:space="preserve">funding is </w:t>
      </w:r>
      <w:r>
        <w:rPr>
          <w:b/>
          <w:i w:val="0"/>
          <w:smallCaps w:val="0"/>
          <w:strike w:val="0"/>
          <w:sz w:val="24"/>
          <w:highlight w:val="cyan"/>
          <w:u w:val="single"/>
        </w:rPr>
        <w:t>too low</w:t>
      </w:r>
      <w:r>
        <w:rPr>
          <w:b w:val="0"/>
          <w:i w:val="0"/>
          <w:smallCaps w:val="0"/>
          <w:strike w:val="0"/>
          <w:sz w:val="16"/>
          <w:u w:val="none"/>
        </w:rPr>
        <w:t>, and that the revenue gains from added enforcement funding would more than offset the cost. Lawmakers can build on this to restore adequate funding for the core government function of collecting taxes owed under law. Lawmakers should also pursue meaningful tax reform that strengthens the integrity of the tax code, raises revenue, and boosts workers’ and families’ incomes.</w:t>
      </w:r>
    </w:p>
    <w:p>
      <w:pPr>
        <w:spacing w:after="60"/>
      </w:pPr>
      <w:r>
        <w:rPr>
          <w:b w:val="0"/>
          <w:i w:val="0"/>
          <w:smallCaps w:val="0"/>
          <w:strike w:val="0"/>
          <w:sz w:val="16"/>
          <w:u w:val="none"/>
        </w:rPr>
        <w:t>IRS Enforcement Severely Depleted</w:t>
      </w:r>
    </w:p>
    <w:p>
      <w:pPr>
        <w:spacing w:after="60"/>
      </w:pPr>
      <w:r>
        <w:rPr>
          <w:b w:val="0"/>
          <w:i w:val="0"/>
          <w:smallCaps w:val="0"/>
          <w:strike w:val="0"/>
          <w:sz w:val="16"/>
          <w:u w:val="none"/>
        </w:rPr>
        <w:t>Figure 1 summarizes the impact of the deep cuts to IRS funding since 2010:[1]</w:t>
      </w:r>
    </w:p>
    <w:p>
      <w:pPr>
        <w:spacing w:after="60"/>
      </w:pPr>
      <w:r>
        <w:rPr>
          <w:b w:val="0"/>
          <w:i w:val="0"/>
          <w:smallCaps w:val="0"/>
          <w:strike w:val="0"/>
          <w:sz w:val="22"/>
          <w:u w:val="single"/>
        </w:rPr>
        <w:t xml:space="preserve">IRS </w:t>
      </w:r>
      <w:r>
        <w:rPr>
          <w:b/>
          <w:i w:val="0"/>
          <w:smallCaps w:val="0"/>
          <w:strike w:val="0"/>
          <w:sz w:val="24"/>
          <w:u w:val="single"/>
        </w:rPr>
        <w:t>funding</w:t>
      </w:r>
      <w:r>
        <w:rPr>
          <w:b w:val="0"/>
          <w:i w:val="0"/>
          <w:smallCaps w:val="0"/>
          <w:strike w:val="0"/>
          <w:sz w:val="22"/>
          <w:u w:val="single"/>
        </w:rPr>
        <w:t xml:space="preserve"> overall has been </w:t>
      </w:r>
      <w:r>
        <w:rPr>
          <w:b w:val="0"/>
          <w:i w:val="0"/>
          <w:smallCaps w:val="0"/>
          <w:strike w:val="0"/>
          <w:sz w:val="22"/>
          <w:highlight w:val="cyan"/>
          <w:u w:val="single"/>
        </w:rPr>
        <w:t xml:space="preserve">cut by </w:t>
      </w:r>
      <w:r>
        <w:rPr>
          <w:b/>
          <w:i w:val="0"/>
          <w:smallCaps w:val="0"/>
          <w:strike w:val="0"/>
          <w:sz w:val="24"/>
          <w:highlight w:val="cyan"/>
          <w:u w:val="single"/>
        </w:rPr>
        <w:t>21 percent</w:t>
      </w:r>
      <w:r>
        <w:rPr>
          <w:b w:val="0"/>
          <w:i w:val="0"/>
          <w:smallCaps w:val="0"/>
          <w:strike w:val="0"/>
          <w:sz w:val="22"/>
          <w:u w:val="single"/>
        </w:rPr>
        <w:t xml:space="preserve"> in inflation-adjusted terms</w:t>
      </w:r>
      <w:r>
        <w:rPr>
          <w:b w:val="0"/>
          <w:i w:val="0"/>
          <w:smallCaps w:val="0"/>
          <w:strike w:val="0"/>
          <w:sz w:val="16"/>
          <w:u w:val="none"/>
        </w:rPr>
        <w:t>.</w:t>
      </w:r>
    </w:p>
    <w:p>
      <w:pPr>
        <w:spacing w:after="60"/>
      </w:pPr>
      <w:r>
        <w:rPr>
          <w:b w:val="0"/>
          <w:i w:val="0"/>
          <w:smallCaps w:val="0"/>
          <w:strike w:val="0"/>
          <w:sz w:val="16"/>
          <w:u w:val="none"/>
        </w:rPr>
        <w:t>IRS enforcement funding has been cut by 24 percent in inflation-adjusted terms, even as the number of tax returns has grown by about 9 percent.[2]</w:t>
      </w:r>
    </w:p>
    <w:p>
      <w:pPr>
        <w:spacing w:after="60"/>
      </w:pPr>
      <w:r>
        <w:rPr>
          <w:b w:val="0"/>
          <w:i w:val="0"/>
          <w:smallCaps w:val="0"/>
          <w:strike w:val="0"/>
          <w:sz w:val="22"/>
          <w:u w:val="single"/>
        </w:rPr>
        <w:t xml:space="preserve">The </w:t>
      </w:r>
      <w:r>
        <w:rPr>
          <w:b w:val="0"/>
          <w:i w:val="0"/>
          <w:smallCaps w:val="0"/>
          <w:strike w:val="0"/>
          <w:sz w:val="22"/>
          <w:highlight w:val="cyan"/>
          <w:u w:val="single"/>
        </w:rPr>
        <w:t>number of</w:t>
      </w:r>
      <w:r>
        <w:rPr>
          <w:b w:val="0"/>
          <w:i w:val="0"/>
          <w:smallCaps w:val="0"/>
          <w:strike w:val="0"/>
          <w:sz w:val="22"/>
          <w:u w:val="single"/>
        </w:rPr>
        <w:t xml:space="preserve"> </w:t>
      </w:r>
      <w:r>
        <w:rPr>
          <w:b/>
          <w:i w:val="0"/>
          <w:smallCaps w:val="0"/>
          <w:strike w:val="0"/>
          <w:sz w:val="24"/>
          <w:u w:val="single"/>
        </w:rPr>
        <w:t xml:space="preserve">operations </w:t>
      </w:r>
      <w:r>
        <w:rPr>
          <w:b/>
          <w:i w:val="0"/>
          <w:smallCaps w:val="0"/>
          <w:strike w:val="0"/>
          <w:sz w:val="24"/>
          <w:highlight w:val="cyan"/>
          <w:u w:val="single"/>
        </w:rPr>
        <w:t>staff</w:t>
      </w:r>
      <w:r>
        <w:rPr>
          <w:b w:val="0"/>
          <w:i w:val="0"/>
          <w:smallCaps w:val="0"/>
          <w:strike w:val="0"/>
          <w:sz w:val="22"/>
          <w:highlight w:val="cyan"/>
          <w:u w:val="single"/>
        </w:rPr>
        <w:t xml:space="preserve"> has </w:t>
      </w:r>
      <w:r>
        <w:rPr>
          <w:b/>
          <w:i w:val="0"/>
          <w:smallCaps w:val="0"/>
          <w:strike w:val="0"/>
          <w:sz w:val="24"/>
          <w:highlight w:val="cyan"/>
          <w:u w:val="single"/>
        </w:rPr>
        <w:t>fallen</w:t>
      </w:r>
      <w:r>
        <w:rPr>
          <w:b w:val="0"/>
          <w:i w:val="0"/>
          <w:smallCaps w:val="0"/>
          <w:strike w:val="0"/>
          <w:sz w:val="22"/>
          <w:u w:val="single"/>
        </w:rPr>
        <w:t xml:space="preserve"> by </w:t>
      </w:r>
      <w:r>
        <w:rPr>
          <w:b w:val="0"/>
          <w:i w:val="0"/>
          <w:smallCaps w:val="0"/>
          <w:strike w:val="0"/>
          <w:sz w:val="22"/>
          <w:highlight w:val="cyan"/>
          <w:u w:val="single"/>
        </w:rPr>
        <w:t>31 percent</w:t>
      </w:r>
      <w:r>
        <w:rPr>
          <w:b w:val="0"/>
          <w:i w:val="0"/>
          <w:smallCaps w:val="0"/>
          <w:strike w:val="0"/>
          <w:sz w:val="16"/>
          <w:u w:val="none"/>
        </w:rPr>
        <w:t>, and the number of revenue agents with the expertise to conduct audits of complex returns has fallen by 35 percent.</w:t>
      </w:r>
    </w:p>
    <w:p>
      <w:pPr>
        <w:spacing w:after="60"/>
      </w:pPr>
      <w:r>
        <w:rPr>
          <w:b w:val="0"/>
          <w:i w:val="0"/>
          <w:smallCaps w:val="0"/>
          <w:strike w:val="0"/>
          <w:sz w:val="22"/>
          <w:u w:val="single"/>
        </w:rPr>
        <w:t xml:space="preserve">The </w:t>
      </w:r>
      <w:r>
        <w:rPr>
          <w:b/>
          <w:i w:val="0"/>
          <w:smallCaps w:val="0"/>
          <w:strike w:val="0"/>
          <w:sz w:val="24"/>
          <w:highlight w:val="cyan"/>
          <w:u w:val="single"/>
        </w:rPr>
        <w:t>audit rate</w:t>
      </w:r>
      <w:r>
        <w:rPr>
          <w:b w:val="0"/>
          <w:i w:val="0"/>
          <w:smallCaps w:val="0"/>
          <w:strike w:val="0"/>
          <w:sz w:val="22"/>
          <w:u w:val="single"/>
        </w:rPr>
        <w:t xml:space="preserve"> overall </w:t>
      </w:r>
      <w:r>
        <w:rPr>
          <w:b w:val="0"/>
          <w:i w:val="0"/>
          <w:smallCaps w:val="0"/>
          <w:strike w:val="0"/>
          <w:sz w:val="22"/>
          <w:highlight w:val="cyan"/>
          <w:u w:val="single"/>
        </w:rPr>
        <w:t>has fallen</w:t>
      </w:r>
      <w:r>
        <w:rPr>
          <w:b w:val="0"/>
          <w:i w:val="0"/>
          <w:smallCaps w:val="0"/>
          <w:strike w:val="0"/>
          <w:sz w:val="22"/>
          <w:u w:val="single"/>
        </w:rPr>
        <w:t xml:space="preserve"> by </w:t>
      </w:r>
      <w:r>
        <w:rPr>
          <w:b/>
          <w:i w:val="0"/>
          <w:smallCaps w:val="0"/>
          <w:strike w:val="0"/>
          <w:sz w:val="24"/>
          <w:highlight w:val="cyan"/>
          <w:u w:val="single"/>
        </w:rPr>
        <w:t>45 percent</w:t>
      </w:r>
      <w:r>
        <w:rPr>
          <w:b w:val="0"/>
          <w:i w:val="0"/>
          <w:smallCaps w:val="0"/>
          <w:strike w:val="0"/>
          <w:sz w:val="16"/>
          <w:u w:val="none"/>
        </w:rPr>
        <w:t xml:space="preserve">, from 0.9 percent </w:t>
      </w:r>
      <w:r>
        <w:rPr>
          <w:b w:val="0"/>
          <w:i w:val="0"/>
          <w:smallCaps w:val="0"/>
          <w:strike w:val="0"/>
          <w:sz w:val="22"/>
          <w:u w:val="single"/>
        </w:rPr>
        <w:t xml:space="preserve">to </w:t>
      </w:r>
      <w:r>
        <w:rPr>
          <w:b/>
          <w:i w:val="0"/>
          <w:smallCaps w:val="0"/>
          <w:strike w:val="0"/>
          <w:sz w:val="24"/>
          <w:u w:val="single"/>
        </w:rPr>
        <w:t>0.5 percent</w:t>
      </w:r>
      <w:r>
        <w:rPr>
          <w:b w:val="0"/>
          <w:i w:val="0"/>
          <w:smallCaps w:val="0"/>
          <w:strike w:val="0"/>
          <w:sz w:val="16"/>
          <w:u w:val="none"/>
        </w:rPr>
        <w:t>.[3]</w:t>
      </w:r>
    </w:p>
    <w:p>
      <w:pPr>
        <w:spacing w:after="60"/>
      </w:pPr>
      <w:r>
        <w:rPr>
          <w:b w:val="0"/>
          <w:i w:val="0"/>
          <w:smallCaps w:val="0"/>
          <w:strike w:val="0"/>
          <w:sz w:val="16"/>
          <w:u w:val="none"/>
        </w:rPr>
        <w:t>The audit rate for corporations with more than $1 billion in assets is down 51 percent.</w:t>
      </w:r>
    </w:p>
    <w:p>
      <w:pPr>
        <w:spacing w:after="60"/>
      </w:pPr>
      <w:r>
        <w:rPr>
          <w:b w:val="0"/>
          <w:i w:val="0"/>
          <w:smallCaps w:val="0"/>
          <w:strike w:val="0"/>
          <w:sz w:val="16"/>
          <w:u w:val="none"/>
        </w:rPr>
        <w:t>The audit rate for filers with more than $1 million[4] in annual income is down 61 percent.</w:t>
      </w:r>
    </w:p>
    <w:p>
      <w:pPr>
        <w:spacing w:after="60"/>
      </w:pPr>
      <w:r>
        <w:rPr>
          <w:b w:val="0"/>
          <w:i w:val="0"/>
          <w:smallCaps w:val="0"/>
          <w:strike w:val="0"/>
          <w:sz w:val="22"/>
          <w:u w:val="single"/>
        </w:rPr>
        <w:t xml:space="preserve">These trends have </w:t>
      </w:r>
      <w:r>
        <w:rPr>
          <w:b/>
          <w:i w:val="0"/>
          <w:smallCaps w:val="0"/>
          <w:strike w:val="0"/>
          <w:sz w:val="24"/>
          <w:u w:val="single"/>
        </w:rPr>
        <w:t>significant implications</w:t>
      </w:r>
      <w:r>
        <w:rPr>
          <w:b w:val="0"/>
          <w:i w:val="0"/>
          <w:smallCaps w:val="0"/>
          <w:strike w:val="0"/>
          <w:sz w:val="22"/>
          <w:u w:val="single"/>
        </w:rPr>
        <w:t xml:space="preserve"> for efforts to address the tax gap. </w:t>
      </w:r>
      <w:r>
        <w:rPr>
          <w:b w:val="0"/>
          <w:i w:val="0"/>
          <w:smallCaps w:val="0"/>
          <w:strike w:val="0"/>
          <w:sz w:val="22"/>
          <w:highlight w:val="cyan"/>
          <w:u w:val="single"/>
        </w:rPr>
        <w:t>Each year</w:t>
      </w:r>
      <w:r>
        <w:rPr>
          <w:b w:val="0"/>
          <w:i w:val="0"/>
          <w:smallCaps w:val="0"/>
          <w:strike w:val="0"/>
          <w:sz w:val="22"/>
          <w:u w:val="single"/>
        </w:rPr>
        <w:t xml:space="preserve"> an estimated </w:t>
      </w:r>
      <w:r>
        <w:rPr>
          <w:b w:val="0"/>
          <w:i w:val="0"/>
          <w:smallCaps w:val="0"/>
          <w:strike w:val="0"/>
          <w:sz w:val="22"/>
          <w:highlight w:val="cyan"/>
          <w:u w:val="single"/>
        </w:rPr>
        <w:t>$441 billion in</w:t>
      </w:r>
      <w:r>
        <w:rPr>
          <w:b w:val="0"/>
          <w:i w:val="0"/>
          <w:smallCaps w:val="0"/>
          <w:strike w:val="0"/>
          <w:sz w:val="22"/>
          <w:u w:val="single"/>
        </w:rPr>
        <w:t xml:space="preserve"> federal </w:t>
      </w:r>
      <w:r>
        <w:rPr>
          <w:b w:val="0"/>
          <w:i w:val="0"/>
          <w:smallCaps w:val="0"/>
          <w:strike w:val="0"/>
          <w:sz w:val="22"/>
          <w:highlight w:val="cyan"/>
          <w:u w:val="single"/>
        </w:rPr>
        <w:t xml:space="preserve">taxes owed is </w:t>
      </w:r>
      <w:r>
        <w:rPr>
          <w:b/>
          <w:i w:val="0"/>
          <w:smallCaps w:val="0"/>
          <w:strike w:val="0"/>
          <w:sz w:val="24"/>
          <w:highlight w:val="cyan"/>
          <w:u w:val="single"/>
        </w:rPr>
        <w:t>not paid</w:t>
      </w:r>
      <w:r>
        <w:rPr>
          <w:b/>
          <w:i w:val="0"/>
          <w:smallCaps w:val="0"/>
          <w:strike w:val="0"/>
          <w:sz w:val="24"/>
          <w:u w:val="single"/>
        </w:rPr>
        <w:t xml:space="preserve"> voluntarily</w:t>
      </w:r>
      <w:r>
        <w:rPr>
          <w:b w:val="0"/>
          <w:i w:val="0"/>
          <w:smallCaps w:val="0"/>
          <w:strike w:val="0"/>
          <w:sz w:val="22"/>
          <w:u w:val="single"/>
        </w:rPr>
        <w:t xml:space="preserve"> and on time. </w:t>
      </w:r>
      <w:r>
        <w:rPr>
          <w:b/>
          <w:i w:val="0"/>
          <w:smallCaps w:val="0"/>
          <w:strike w:val="0"/>
          <w:sz w:val="24"/>
          <w:u w:val="single"/>
        </w:rPr>
        <w:t>Underreporting</w:t>
      </w:r>
      <w:r>
        <w:rPr>
          <w:b w:val="0"/>
          <w:i w:val="0"/>
          <w:smallCaps w:val="0"/>
          <w:strike w:val="0"/>
          <w:sz w:val="22"/>
          <w:u w:val="single"/>
        </w:rPr>
        <w:t xml:space="preserve"> of tax liability accounts for </w:t>
      </w:r>
      <w:r>
        <w:rPr>
          <w:b/>
          <w:i w:val="0"/>
          <w:smallCaps w:val="0"/>
          <w:strike w:val="0"/>
          <w:sz w:val="24"/>
          <w:u w:val="single"/>
        </w:rPr>
        <w:t>80 percent</w:t>
      </w:r>
      <w:r>
        <w:rPr>
          <w:b w:val="0"/>
          <w:i w:val="0"/>
          <w:smallCaps w:val="0"/>
          <w:strike w:val="0"/>
          <w:sz w:val="22"/>
          <w:u w:val="single"/>
        </w:rPr>
        <w:t xml:space="preserve"> of this gross tax gap</w:t>
      </w:r>
      <w:r>
        <w:rPr>
          <w:b w:val="0"/>
          <w:i w:val="0"/>
          <w:smallCaps w:val="0"/>
          <w:strike w:val="0"/>
          <w:sz w:val="16"/>
          <w:u w:val="none"/>
        </w:rPr>
        <w:t xml:space="preserve">; the other 20 percent reflects failure to file a return or failure to pay the tax reported on returns on time and in full.[5] </w:t>
      </w:r>
      <w:r>
        <w:rPr>
          <w:b w:val="0"/>
          <w:i w:val="0"/>
          <w:smallCaps w:val="0"/>
          <w:strike w:val="0"/>
          <w:sz w:val="22"/>
          <w:u w:val="single"/>
        </w:rPr>
        <w:t xml:space="preserve">The </w:t>
      </w:r>
      <w:r>
        <w:rPr>
          <w:b w:val="0"/>
          <w:i w:val="0"/>
          <w:smallCaps w:val="0"/>
          <w:strike w:val="0"/>
          <w:sz w:val="22"/>
          <w:highlight w:val="cyan"/>
          <w:u w:val="single"/>
        </w:rPr>
        <w:t>IRS recovers</w:t>
      </w:r>
      <w:r>
        <w:rPr>
          <w:b w:val="0"/>
          <w:i w:val="0"/>
          <w:smallCaps w:val="0"/>
          <w:strike w:val="0"/>
          <w:sz w:val="22"/>
          <w:u w:val="single"/>
        </w:rPr>
        <w:t xml:space="preserve"> about </w:t>
      </w:r>
      <w:r>
        <w:rPr>
          <w:b/>
          <w:i w:val="0"/>
          <w:smallCaps w:val="0"/>
          <w:strike w:val="0"/>
          <w:sz w:val="24"/>
          <w:highlight w:val="cyan"/>
          <w:u w:val="single"/>
        </w:rPr>
        <w:t>14 percent</w:t>
      </w:r>
      <w:r>
        <w:rPr>
          <w:b w:val="0"/>
          <w:i w:val="0"/>
          <w:smallCaps w:val="0"/>
          <w:strike w:val="0"/>
          <w:sz w:val="16"/>
          <w:u w:val="none"/>
        </w:rPr>
        <w:t xml:space="preserve"> of the gross tax gap through enforcement efforts and other late payments, leaving a net tax gap of $381 billion.</w:t>
      </w:r>
    </w:p>
    <w:p>
      <w:pPr>
        <w:spacing w:after="60"/>
      </w:pPr>
      <w:r>
        <w:rPr>
          <w:b w:val="0"/>
          <w:i w:val="0"/>
          <w:smallCaps w:val="0"/>
          <w:strike w:val="0"/>
          <w:sz w:val="22"/>
          <w:u w:val="single"/>
        </w:rPr>
        <w:t xml:space="preserve">The </w:t>
      </w:r>
      <w:r>
        <w:rPr>
          <w:b/>
          <w:i w:val="0"/>
          <w:smallCaps w:val="0"/>
          <w:strike w:val="0"/>
          <w:sz w:val="24"/>
          <w:highlight w:val="cyan"/>
          <w:u w:val="single"/>
        </w:rPr>
        <w:t>steep decline</w:t>
      </w:r>
      <w:r>
        <w:rPr>
          <w:b w:val="0"/>
          <w:i w:val="0"/>
          <w:smallCaps w:val="0"/>
          <w:strike w:val="0"/>
          <w:sz w:val="22"/>
          <w:highlight w:val="cyan"/>
          <w:u w:val="single"/>
        </w:rPr>
        <w:t xml:space="preserve"> in audits</w:t>
      </w:r>
      <w:r>
        <w:rPr>
          <w:b w:val="0"/>
          <w:i w:val="0"/>
          <w:smallCaps w:val="0"/>
          <w:strike w:val="0"/>
          <w:sz w:val="16"/>
          <w:u w:val="none"/>
        </w:rPr>
        <w:t xml:space="preserve"> for high-income individuals </w:t>
      </w:r>
      <w:r>
        <w:rPr>
          <w:b/>
          <w:i w:val="0"/>
          <w:smallCaps w:val="0"/>
          <w:strike w:val="0"/>
          <w:sz w:val="24"/>
          <w:highlight w:val="cyan"/>
          <w:u w:val="single"/>
        </w:rPr>
        <w:t>stem</w:t>
      </w:r>
      <w:r>
        <w:rPr>
          <w:b w:val="0"/>
          <w:i w:val="0"/>
          <w:smallCaps w:val="0"/>
          <w:strike w:val="0"/>
          <w:sz w:val="16"/>
          <w:u w:val="none"/>
        </w:rPr>
        <w:t xml:space="preserve">ming </w:t>
      </w:r>
      <w:r>
        <w:rPr>
          <w:b w:val="0"/>
          <w:i w:val="0"/>
          <w:smallCaps w:val="0"/>
          <w:strike w:val="0"/>
          <w:sz w:val="22"/>
          <w:highlight w:val="cyan"/>
          <w:u w:val="single"/>
        </w:rPr>
        <w:t>from</w:t>
      </w:r>
      <w:r>
        <w:rPr>
          <w:b w:val="0"/>
          <w:i w:val="0"/>
          <w:smallCaps w:val="0"/>
          <w:strike w:val="0"/>
          <w:sz w:val="22"/>
          <w:u w:val="single"/>
        </w:rPr>
        <w:t xml:space="preserve"> IRS </w:t>
      </w:r>
      <w:r>
        <w:rPr>
          <w:b/>
          <w:i w:val="0"/>
          <w:smallCaps w:val="0"/>
          <w:strike w:val="0"/>
          <w:sz w:val="24"/>
          <w:highlight w:val="cyan"/>
          <w:u w:val="single"/>
        </w:rPr>
        <w:t>underfunding</w:t>
      </w:r>
      <w:r>
        <w:rPr>
          <w:b w:val="0"/>
          <w:i w:val="0"/>
          <w:smallCaps w:val="0"/>
          <w:strike w:val="0"/>
          <w:sz w:val="16"/>
          <w:u w:val="none"/>
        </w:rPr>
        <w:t xml:space="preserve"> means that low- and moderate-income households claiming the Earned Income Tax Credit (EITC) are now audited at roughly the same rate as the top 1 percent of filers, even though the former are responsible for less than 10 percent of the tax gap due to underreporting while the latter may account for as much as 70 percent.[6]</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