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a </w:t>
      </w:r>
      <w:r>
        <w:rPr>
          <w:b/>
          <w:i w:val="0"/>
          <w:smallCaps w:val="0"/>
          <w:strike w:val="0"/>
          <w:sz w:val="26"/>
          <w:u w:val="single"/>
        </w:rPr>
        <w:t>total labyrinth</w:t>
      </w:r>
      <w:r>
        <w:rPr>
          <w:b/>
          <w:i w:val="0"/>
          <w:smallCaps w:val="0"/>
          <w:strike w:val="0"/>
          <w:sz w:val="26"/>
          <w:u w:val="none"/>
        </w:rPr>
        <w:t xml:space="preserve"> that’ll make </w:t>
      </w:r>
      <w:r>
        <w:rPr>
          <w:b/>
          <w:i w:val="0"/>
          <w:smallCaps w:val="0"/>
          <w:strike w:val="0"/>
          <w:sz w:val="26"/>
          <w:u w:val="single"/>
        </w:rPr>
        <w:t>no sense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Pappas ’16 </w:t>
      </w:r>
      <w:r>
        <w:rPr>
          <w:b w:val="0"/>
          <w:i w:val="0"/>
          <w:smallCaps w:val="0"/>
          <w:strike w:val="0"/>
          <w:u w:val="none"/>
        </w:rPr>
        <w:t>[Andrew; Fall 2016; J.D. Candidate, Valparaiso University Law School, B.A. in Economics from Hillsdale College; Valdosta University Law Review, “Wrestling Antaeus: The Necessity of Appointed Counsel in Civil Tax Disputes,” vol. 51]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Taxpayers facing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civil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IRS deserve more than an opportunity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get lost in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enigmatic labyrinth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of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nternal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evenue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ode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before having their taxes improperly assessed.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Tax enforcement has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never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extraordinarily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where a civil action ends and criminal prosecution begins,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that problem has </w:t>
      </w:r>
      <w:r>
        <w:rPr>
          <w:b/>
          <w:i w:val="0"/>
          <w:smallCaps w:val="0"/>
          <w:strike w:val="0"/>
          <w:sz w:val="24"/>
          <w:u w:val="single"/>
        </w:rPr>
        <w:t>persisted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this day in areas such as tax fraud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264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 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likewise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faced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difficulties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categorization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authority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very operation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seems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perpetuate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idea of tax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exceptionalism</w:t>
      </w:r>
      <w:r>
        <w:rPr>
          <w:b w:val="0"/>
          <w:i w:val="0"/>
          <w:smallCaps w:val="0"/>
          <w:strike w:val="0"/>
          <w:sz w:val="22"/>
          <w:u w:val="single"/>
        </w:rPr>
        <w:t>, for better or worse</w:t>
      </w:r>
      <w:r>
        <w:rPr>
          <w:b w:val="0"/>
          <w:i w:val="0"/>
          <w:smallCaps w:val="0"/>
          <w:strike w:val="0"/>
          <w:sz w:val="16"/>
          <w:u w:val="none"/>
        </w:rPr>
        <w:t>. 265 The Supreme Court has acknowledged some bleed between civil and criminal law in certain circumstances, and has recognized a right to paid counsel in particular civil situations. 266 This Note advocates the recognition of that right in one other situation--one in which the subject matter, parties, and forum all lend themselves to its extension.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