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Calculation</w:t>
      </w:r>
      <w:r>
        <w:rPr>
          <w:b/>
          <w:i w:val="0"/>
          <w:smallCaps w:val="0"/>
          <w:strike w:val="0"/>
          <w:sz w:val="26"/>
          <w:u w:val="none"/>
        </w:rPr>
        <w:t xml:space="preserve"> of the appropriate level is </w:t>
      </w:r>
      <w:r>
        <w:rPr>
          <w:b/>
          <w:i w:val="0"/>
          <w:smallCaps w:val="0"/>
          <w:strike w:val="0"/>
          <w:sz w:val="26"/>
          <w:u w:val="single"/>
        </w:rPr>
        <w:t>impossible</w:t>
      </w:r>
      <w:r>
        <w:rPr>
          <w:b/>
          <w:i w:val="0"/>
          <w:smallCaps w:val="0"/>
          <w:strike w:val="0"/>
          <w:sz w:val="26"/>
          <w:u w:val="none"/>
        </w:rPr>
        <w:t>.</w:t>
      </w:r>
    </w:p>
    <w:p>
      <w:pPr>
        <w:spacing w:after="80"/>
      </w:pPr>
      <w:r>
        <w:rPr>
          <w:b/>
          <w:i w:val="0"/>
          <w:smallCaps w:val="0"/>
          <w:strike w:val="0"/>
          <w:sz w:val="26"/>
          <w:u w:val="none"/>
        </w:rPr>
        <w:t xml:space="preserve">Garbarino ’15 </w:t>
      </w:r>
      <w:r>
        <w:rPr>
          <w:b w:val="0"/>
          <w:i w:val="0"/>
          <w:smallCaps w:val="0"/>
          <w:strike w:val="0"/>
          <w:u w:val="none"/>
        </w:rPr>
        <w:t>[Carlo and Giulio Allevato; Summer 2015; Professor of Law at the Universita Bocconi, Grotius Research Scholar at the University of Michigan Law School, Hauser Global Visiting Faculty at the NYU Law School, Visiting Professor of Law at the University of Michigan Law School, Visiting Professor of Law at the University of Florida School of Law, Visiting Professor at the University of San Paulo, Visiting Scholar at the University of Michigan Law School, Visiting Professor at Sorbonne University, Paris, Visiting Scholar at Yale Law School; Assistant Professor of Tax Law at the SDA Bocconi School of Management, Ernst Mach Scholar at the Institute for Austrian and International Tax Law, Vienna University of Economics and Business, Ph.D. from the Universita Bocconi, International Tax, LL.M. from the University of Michigan Law School; Michigan Journal of International Law, “The Global Architecture of Financial Regulatory Taxes,” vol. 36]</w:t>
      </w:r>
    </w:p>
    <w:p>
      <w:pPr>
        <w:spacing w:after="60"/>
      </w:pPr>
      <w:r>
        <w:rPr>
          <w:b w:val="0"/>
          <w:i w:val="0"/>
          <w:smallCaps w:val="0"/>
          <w:strike w:val="0"/>
          <w:sz w:val="22"/>
          <w:highlight w:val="cyan"/>
          <w:u w:val="single"/>
        </w:rPr>
        <w:t>An excess-profits tax</w:t>
      </w:r>
      <w:r>
        <w:rPr>
          <w:b w:val="0"/>
          <w:i w:val="0"/>
          <w:smallCaps w:val="0"/>
          <w:strike w:val="0"/>
          <w:sz w:val="22"/>
          <w:u w:val="single"/>
        </w:rPr>
        <w:t xml:space="preserve"> on</w:t>
      </w:r>
      <w:r>
        <w:rPr>
          <w:b w:val="0"/>
          <w:i w:val="0"/>
          <w:smallCaps w:val="0"/>
          <w:strike w:val="0"/>
          <w:sz w:val="16"/>
          <w:u w:val="none"/>
        </w:rPr>
        <w:t xml:space="preserve"> financial </w:t>
      </w:r>
      <w:r>
        <w:rPr>
          <w:b w:val="0"/>
          <w:i w:val="0"/>
          <w:smallCaps w:val="0"/>
          <w:strike w:val="0"/>
          <w:sz w:val="22"/>
          <w:u w:val="single"/>
        </w:rPr>
        <w:t>firms is</w:t>
      </w:r>
      <w:r>
        <w:rPr>
          <w:b w:val="0"/>
          <w:i w:val="0"/>
          <w:smallCaps w:val="0"/>
          <w:strike w:val="0"/>
          <w:sz w:val="16"/>
          <w:u w:val="none"/>
        </w:rPr>
        <w:t xml:space="preserve">, in some ways, </w:t>
      </w:r>
      <w:r>
        <w:rPr>
          <w:b w:val="0"/>
          <w:i w:val="0"/>
          <w:smallCaps w:val="0"/>
          <w:strike w:val="0"/>
          <w:sz w:val="22"/>
          <w:u w:val="single"/>
        </w:rPr>
        <w:t xml:space="preserve">a policy option that </w:t>
      </w:r>
      <w:r>
        <w:rPr>
          <w:b w:val="0"/>
          <w:i w:val="0"/>
          <w:smallCaps w:val="0"/>
          <w:strike w:val="0"/>
          <w:sz w:val="22"/>
          <w:highlight w:val="cyan"/>
          <w:u w:val="single"/>
        </w:rPr>
        <w:t>can</w:t>
      </w:r>
      <w:r>
        <w:rPr>
          <w:b w:val="0"/>
          <w:i w:val="0"/>
          <w:smallCaps w:val="0"/>
          <w:strike w:val="0"/>
          <w:sz w:val="22"/>
          <w:u w:val="single"/>
        </w:rPr>
        <w:t xml:space="preserve"> be used</w:t>
      </w:r>
      <w:r>
        <w:rPr>
          <w:b w:val="0"/>
          <w:i w:val="0"/>
          <w:smallCaps w:val="0"/>
          <w:strike w:val="0"/>
          <w:sz w:val="16"/>
          <w:u w:val="none"/>
        </w:rPr>
        <w:t xml:space="preserve"> also for purposes other than those indicated above. In the past, excess-profits taxes have been used by the U.S. government </w:t>
      </w:r>
      <w:r>
        <w:rPr>
          <w:b w:val="0"/>
          <w:i w:val="0"/>
          <w:smallCaps w:val="0"/>
          <w:strike w:val="0"/>
          <w:sz w:val="22"/>
          <w:u w:val="single"/>
        </w:rPr>
        <w:t xml:space="preserve">to </w:t>
      </w:r>
      <w:r>
        <w:rPr>
          <w:b w:val="0"/>
          <w:i w:val="0"/>
          <w:smallCaps w:val="0"/>
          <w:strike w:val="0"/>
          <w:sz w:val="22"/>
          <w:highlight w:val="cyan"/>
          <w:u w:val="single"/>
        </w:rPr>
        <w:t>target</w:t>
      </w:r>
      <w:r>
        <w:rPr>
          <w:b w:val="0"/>
          <w:i w:val="0"/>
          <w:smallCaps w:val="0"/>
          <w:strike w:val="0"/>
          <w:sz w:val="22"/>
          <w:u w:val="single"/>
        </w:rPr>
        <w:t xml:space="preserve"> specific </w:t>
      </w:r>
      <w:r>
        <w:rPr>
          <w:b w:val="0"/>
          <w:i w:val="0"/>
          <w:smallCaps w:val="0"/>
          <w:strike w:val="0"/>
          <w:sz w:val="22"/>
          <w:highlight w:val="cyan"/>
          <w:u w:val="single"/>
        </w:rPr>
        <w:t>industries</w:t>
      </w:r>
      <w:r>
        <w:rPr>
          <w:b w:val="0"/>
          <w:i w:val="0"/>
          <w:smallCaps w:val="0"/>
          <w:strike w:val="0"/>
          <w:sz w:val="16"/>
          <w:u w:val="none"/>
        </w:rPr>
        <w:t xml:space="preserve">, such as oil companies, 78 but they and now can be applied to the financial industry as well. 79 Such </w:t>
      </w:r>
      <w:r>
        <w:rPr>
          <w:b w:val="0"/>
          <w:i w:val="0"/>
          <w:smallCaps w:val="0"/>
          <w:strike w:val="0"/>
          <w:sz w:val="22"/>
          <w:u w:val="single"/>
        </w:rPr>
        <w:t xml:space="preserve">a tax could be </w:t>
      </w:r>
      <w:r>
        <w:rPr>
          <w:b w:val="0"/>
          <w:i w:val="0"/>
          <w:smallCaps w:val="0"/>
          <w:strike w:val="0"/>
          <w:sz w:val="22"/>
          <w:highlight w:val="cyan"/>
          <w:u w:val="single"/>
        </w:rPr>
        <w:t>levied on</w:t>
      </w:r>
      <w:r>
        <w:rPr>
          <w:b w:val="0"/>
          <w:i w:val="0"/>
          <w:smallCaps w:val="0"/>
          <w:strike w:val="0"/>
          <w:sz w:val="16"/>
          <w:u w:val="none"/>
        </w:rPr>
        <w:t xml:space="preserve"> the</w:t>
      </w:r>
      <w:r>
        <w:rPr>
          <w:b w:val="0"/>
          <w:i w:val="0"/>
          <w:smallCaps w:val="0"/>
          <w:strike w:val="0"/>
          <w:sz w:val="16"/>
          <w:u w:val="none"/>
        </w:rPr>
        <w:t xml:space="preserve"> </w:t>
      </w:r>
      <w:r>
        <w:rPr>
          <w:b w:val="0"/>
          <w:i w:val="0"/>
          <w:smallCaps w:val="0"/>
          <w:strike w:val="0"/>
          <w:sz w:val="22"/>
          <w:highlight w:val="cyan"/>
          <w:u w:val="single"/>
        </w:rPr>
        <w:t>profits</w:t>
      </w:r>
      <w:r>
        <w:rPr>
          <w:b w:val="0"/>
          <w:i w:val="0"/>
          <w:smallCaps w:val="0"/>
          <w:strike w:val="0"/>
          <w:sz w:val="16"/>
          <w:u w:val="none"/>
        </w:rPr>
        <w:t xml:space="preserve"> of financial companies that are </w:t>
      </w:r>
      <w:r>
        <w:rPr>
          <w:b w:val="0"/>
          <w:i w:val="0"/>
          <w:smallCaps w:val="0"/>
          <w:strike w:val="0"/>
          <w:sz w:val="22"/>
          <w:highlight w:val="cyan"/>
          <w:u w:val="single"/>
        </w:rPr>
        <w:t>above</w:t>
      </w:r>
      <w:r>
        <w:rPr>
          <w:b w:val="0"/>
          <w:i w:val="0"/>
          <w:smallCaps w:val="0"/>
          <w:strike w:val="0"/>
          <w:sz w:val="22"/>
          <w:u w:val="single"/>
        </w:rPr>
        <w:t xml:space="preserve"> a </w:t>
      </w:r>
      <w:r>
        <w:rPr>
          <w:b w:val="0"/>
          <w:i w:val="0"/>
          <w:smallCaps w:val="0"/>
          <w:strike w:val="0"/>
          <w:sz w:val="22"/>
          <w:highlight w:val="cyan"/>
          <w:u w:val="single"/>
        </w:rPr>
        <w:t>normal</w:t>
      </w:r>
      <w:r>
        <w:rPr>
          <w:b w:val="0"/>
          <w:i w:val="0"/>
          <w:smallCaps w:val="0"/>
          <w:strike w:val="0"/>
          <w:sz w:val="22"/>
          <w:u w:val="single"/>
        </w:rPr>
        <w:t xml:space="preserve"> rate of </w:t>
      </w:r>
      <w:r>
        <w:rPr>
          <w:b w:val="0"/>
          <w:i w:val="0"/>
          <w:smallCaps w:val="0"/>
          <w:strike w:val="0"/>
          <w:sz w:val="22"/>
          <w:highlight w:val="cyan"/>
          <w:u w:val="single"/>
        </w:rPr>
        <w:t>return</w:t>
      </w:r>
      <w:r>
        <w:rPr>
          <w:b w:val="0"/>
          <w:i w:val="0"/>
          <w:smallCaps w:val="0"/>
          <w:strike w:val="0"/>
          <w:sz w:val="16"/>
          <w:u w:val="none"/>
        </w:rPr>
        <w:t xml:space="preserve"> for the industry, defined as the compounded amount of interest accrued on debt and a notional return of equity. 80</w:t>
      </w:r>
    </w:p>
    <w:p>
      <w:pPr>
        <w:spacing w:after="60"/>
      </w:pPr>
      <w:r>
        <w:rPr>
          <w:b w:val="0"/>
          <w:i w:val="0"/>
          <w:smallCaps w:val="0"/>
          <w:strike w:val="0"/>
          <w:sz w:val="22"/>
          <w:highlight w:val="cyan"/>
          <w:u w:val="single"/>
        </w:rPr>
        <w:t>The main issue</w:t>
      </w:r>
      <w:r>
        <w:rPr>
          <w:b w:val="0"/>
          <w:i w:val="0"/>
          <w:smallCaps w:val="0"/>
          <w:strike w:val="0"/>
          <w:sz w:val="22"/>
          <w:u w:val="single"/>
        </w:rPr>
        <w:t xml:space="preserve"> in designing an excess-profits tax</w:t>
      </w:r>
      <w:r>
        <w:rPr>
          <w:b w:val="0"/>
          <w:i w:val="0"/>
          <w:smallCaps w:val="0"/>
          <w:strike w:val="0"/>
          <w:sz w:val="16"/>
          <w:u w:val="none"/>
        </w:rPr>
        <w:t xml:space="preserve"> for the financial sector </w:t>
      </w:r>
      <w:r>
        <w:rPr>
          <w:b w:val="0"/>
          <w:i w:val="0"/>
          <w:smallCaps w:val="0"/>
          <w:strike w:val="0"/>
          <w:sz w:val="22"/>
          <w:highlight w:val="cyan"/>
          <w:u w:val="single"/>
        </w:rPr>
        <w:t>is</w:t>
      </w:r>
      <w:r>
        <w:rPr>
          <w:b w:val="0"/>
          <w:i w:val="0"/>
          <w:smallCaps w:val="0"/>
          <w:strike w:val="0"/>
          <w:sz w:val="22"/>
          <w:u w:val="single"/>
        </w:rPr>
        <w:t xml:space="preserve"> the </w:t>
      </w:r>
      <w:r>
        <w:rPr>
          <w:b/>
          <w:i w:val="0"/>
          <w:smallCaps w:val="0"/>
          <w:strike w:val="0"/>
          <w:sz w:val="24"/>
          <w:highlight w:val="cyan"/>
          <w:u w:val="single"/>
        </w:rPr>
        <w:t>definition</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4"/>
          <w:highlight w:val="cyan"/>
          <w:u w:val="single"/>
        </w:rPr>
        <w:t>notional rate of return</w:t>
      </w:r>
      <w:r>
        <w:rPr>
          <w:b w:val="0"/>
          <w:i w:val="0"/>
          <w:smallCaps w:val="0"/>
          <w:strike w:val="0"/>
          <w:sz w:val="22"/>
          <w:u w:val="single"/>
        </w:rPr>
        <w:t xml:space="preserve"> of equity. This </w:t>
      </w:r>
      <w:r>
        <w:rPr>
          <w:b w:val="0"/>
          <w:i w:val="0"/>
          <w:smallCaps w:val="0"/>
          <w:strike w:val="0"/>
          <w:sz w:val="22"/>
          <w:highlight w:val="cyan"/>
          <w:u w:val="single"/>
        </w:rPr>
        <w:t>implies</w:t>
      </w:r>
      <w:r>
        <w:rPr>
          <w:b w:val="0"/>
          <w:i w:val="0"/>
          <w:smallCaps w:val="0"/>
          <w:strike w:val="0"/>
          <w:sz w:val="22"/>
          <w:u w:val="single"/>
        </w:rPr>
        <w:t xml:space="preserve"> a </w:t>
      </w:r>
      <w:r>
        <w:rPr>
          <w:b/>
          <w:i w:val="0"/>
          <w:smallCaps w:val="0"/>
          <w:strike w:val="0"/>
          <w:sz w:val="24"/>
          <w:u w:val="single"/>
        </w:rPr>
        <w:t xml:space="preserve">quite </w:t>
      </w:r>
      <w:r>
        <w:rPr>
          <w:b/>
          <w:i w:val="0"/>
          <w:smallCaps w:val="0"/>
          <w:strike w:val="0"/>
          <w:sz w:val="24"/>
          <w:highlight w:val="cyan"/>
          <w:u w:val="single"/>
        </w:rPr>
        <w:t>complex</w:t>
      </w:r>
      <w:r>
        <w:rPr>
          <w:b/>
          <w:i w:val="0"/>
          <w:smallCaps w:val="0"/>
          <w:strike w:val="0"/>
          <w:sz w:val="24"/>
          <w:u w:val="single"/>
        </w:rPr>
        <w:t xml:space="preserve"> comparability </w:t>
      </w:r>
      <w:r>
        <w:rPr>
          <w:b/>
          <w:i w:val="0"/>
          <w:smallCaps w:val="0"/>
          <w:strike w:val="0"/>
          <w:sz w:val="24"/>
          <w:highlight w:val="cyan"/>
          <w:u w:val="single"/>
        </w:rPr>
        <w:t>analysis</w:t>
      </w:r>
      <w:r>
        <w:rPr>
          <w:b w:val="0"/>
          <w:i w:val="0"/>
          <w:smallCaps w:val="0"/>
          <w:strike w:val="0"/>
          <w:sz w:val="22"/>
          <w:u w:val="single"/>
        </w:rPr>
        <w:t xml:space="preserve"> similar to that deployed in transfer pricing and aimed at </w:t>
      </w:r>
      <w:r>
        <w:rPr>
          <w:b w:val="0"/>
          <w:i w:val="0"/>
          <w:smallCaps w:val="0"/>
          <w:strike w:val="0"/>
          <w:sz w:val="22"/>
          <w:highlight w:val="cyan"/>
          <w:u w:val="single"/>
        </w:rPr>
        <w:t>finding</w:t>
      </w:r>
      <w:r>
        <w:rPr>
          <w:b w:val="0"/>
          <w:i w:val="0"/>
          <w:smallCaps w:val="0"/>
          <w:strike w:val="0"/>
          <w:sz w:val="16"/>
          <w:u w:val="none"/>
        </w:rPr>
        <w:t xml:space="preserve"> financial </w:t>
      </w:r>
      <w:r>
        <w:rPr>
          <w:b w:val="0"/>
          <w:i w:val="0"/>
          <w:smallCaps w:val="0"/>
          <w:strike w:val="0"/>
          <w:sz w:val="22"/>
          <w:highlight w:val="cyan"/>
          <w:u w:val="single"/>
        </w:rPr>
        <w:t>institutions with</w:t>
      </w:r>
      <w:r>
        <w:rPr>
          <w:b w:val="0"/>
          <w:i w:val="0"/>
          <w:smallCaps w:val="0"/>
          <w:strike w:val="0"/>
          <w:sz w:val="16"/>
          <w:u w:val="none"/>
        </w:rPr>
        <w:t xml:space="preserve"> identical or </w:t>
      </w:r>
      <w:r>
        <w:rPr>
          <w:b w:val="0"/>
          <w:i w:val="0"/>
          <w:smallCaps w:val="0"/>
          <w:strike w:val="0"/>
          <w:sz w:val="22"/>
          <w:u w:val="single"/>
        </w:rPr>
        <w:t xml:space="preserve">nearly </w:t>
      </w:r>
      <w:r>
        <w:rPr>
          <w:b w:val="0"/>
          <w:i w:val="0"/>
          <w:smallCaps w:val="0"/>
          <w:strike w:val="0"/>
          <w:sz w:val="22"/>
          <w:highlight w:val="cyan"/>
          <w:u w:val="single"/>
        </w:rPr>
        <w:t>identical features</w:t>
      </w:r>
      <w:r>
        <w:rPr>
          <w:b w:val="0"/>
          <w:i w:val="0"/>
          <w:smallCaps w:val="0"/>
          <w:strike w:val="0"/>
          <w:sz w:val="22"/>
          <w:u w:val="single"/>
        </w:rPr>
        <w:t xml:space="preserve"> in terms of size, fees charged, and the type, amount, and frequency of transactions. </w:t>
      </w:r>
      <w:r>
        <w:rPr>
          <w:b w:val="0"/>
          <w:i w:val="0"/>
          <w:smallCaps w:val="0"/>
          <w:strike w:val="0"/>
          <w:sz w:val="22"/>
          <w:highlight w:val="cyan"/>
          <w:u w:val="single"/>
        </w:rPr>
        <w:t>This</w:t>
      </w:r>
      <w:r>
        <w:rPr>
          <w:b w:val="0"/>
          <w:i w:val="0"/>
          <w:smallCaps w:val="0"/>
          <w:strike w:val="0"/>
          <w:sz w:val="22"/>
          <w:u w:val="single"/>
        </w:rPr>
        <w:t xml:space="preserve"> in turn </w:t>
      </w:r>
      <w:r>
        <w:rPr>
          <w:b w:val="0"/>
          <w:i w:val="0"/>
          <w:smallCaps w:val="0"/>
          <w:strike w:val="0"/>
          <w:sz w:val="22"/>
          <w:highlight w:val="cyan"/>
          <w:u w:val="single"/>
        </w:rPr>
        <w:t xml:space="preserve">requires </w:t>
      </w:r>
      <w:r>
        <w:rPr>
          <w:b/>
          <w:i w:val="0"/>
          <w:smallCaps w:val="0"/>
          <w:strike w:val="0"/>
          <w:sz w:val="24"/>
          <w:highlight w:val="cyan"/>
          <w:u w:val="single"/>
        </w:rPr>
        <w:t>significant</w:t>
      </w:r>
      <w:r>
        <w:rPr>
          <w:b/>
          <w:i w:val="0"/>
          <w:smallCaps w:val="0"/>
          <w:strike w:val="0"/>
          <w:sz w:val="24"/>
          <w:u w:val="single"/>
        </w:rPr>
        <w:t xml:space="preserve"> administrative </w:t>
      </w:r>
      <w:r>
        <w:rPr>
          <w:b/>
          <w:i w:val="0"/>
          <w:smallCaps w:val="0"/>
          <w:strike w:val="0"/>
          <w:sz w:val="24"/>
          <w:highlight w:val="cyan"/>
          <w:u w:val="single"/>
        </w:rPr>
        <w:t>effort</w:t>
      </w:r>
      <w:r>
        <w:rPr>
          <w:b w:val="0"/>
          <w:i w:val="0"/>
          <w:smallCaps w:val="0"/>
          <w:strike w:val="0"/>
          <w:sz w:val="22"/>
          <w:highlight w:val="cyan"/>
          <w:u w:val="single"/>
        </w:rPr>
        <w:t xml:space="preserve"> and a </w:t>
      </w:r>
      <w:r>
        <w:rPr>
          <w:b/>
          <w:i w:val="0"/>
          <w:smallCaps w:val="0"/>
          <w:strike w:val="0"/>
          <w:sz w:val="24"/>
          <w:highlight w:val="cyan"/>
          <w:u w:val="single"/>
        </w:rPr>
        <w:t>high compliance burden</w:t>
      </w:r>
      <w:r>
        <w:rPr>
          <w:b w:val="0"/>
          <w:i w:val="0"/>
          <w:smallCaps w:val="0"/>
          <w:strike w:val="0"/>
          <w:sz w:val="22"/>
          <w:highlight w:val="cyan"/>
          <w:u w:val="single"/>
        </w:rPr>
        <w:t>, which</w:t>
      </w:r>
      <w:r>
        <w:rPr>
          <w:b w:val="0"/>
          <w:i w:val="0"/>
          <w:smallCaps w:val="0"/>
          <w:strike w:val="0"/>
          <w:sz w:val="22"/>
          <w:u w:val="single"/>
        </w:rPr>
        <w:t xml:space="preserve"> may </w:t>
      </w:r>
      <w:r>
        <w:rPr>
          <w:b/>
          <w:i w:val="0"/>
          <w:smallCaps w:val="0"/>
          <w:strike w:val="0"/>
          <w:sz w:val="24"/>
          <w:highlight w:val="cyan"/>
          <w:u w:val="single"/>
        </w:rPr>
        <w:t>affect</w:t>
      </w:r>
      <w:r>
        <w:rPr>
          <w:b w:val="0"/>
          <w:i w:val="0"/>
          <w:smallCaps w:val="0"/>
          <w:strike w:val="0"/>
          <w:sz w:val="22"/>
          <w:u w:val="single"/>
        </w:rPr>
        <w:t xml:space="preserve"> the </w:t>
      </w:r>
      <w:r>
        <w:rPr>
          <w:b/>
          <w:i w:val="0"/>
          <w:smallCaps w:val="0"/>
          <w:strike w:val="0"/>
          <w:sz w:val="24"/>
          <w:highlight w:val="cyan"/>
          <w:u w:val="single"/>
        </w:rPr>
        <w:t>feasibility</w:t>
      </w:r>
      <w:r>
        <w:rPr>
          <w:b w:val="0"/>
          <w:i w:val="0"/>
          <w:smallCaps w:val="0"/>
          <w:strike w:val="0"/>
          <w:sz w:val="22"/>
          <w:u w:val="single"/>
        </w:rPr>
        <w:t xml:space="preserve"> of the tax</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