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It’s too difficult to </w:t>
      </w:r>
      <w:r>
        <w:rPr>
          <w:b/>
          <w:i w:val="0"/>
          <w:smallCaps w:val="0"/>
          <w:strike w:val="0"/>
          <w:sz w:val="26"/>
          <w:u w:val="single"/>
        </w:rPr>
        <w:t>monitor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enforce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Nussim ’10 </w:t>
      </w:r>
      <w:r>
        <w:rPr>
          <w:b w:val="0"/>
          <w:i w:val="0"/>
          <w:smallCaps w:val="0"/>
          <w:strike w:val="0"/>
          <w:u w:val="none"/>
        </w:rPr>
        <w:t xml:space="preserve">[Jacob; Spring 2010; Assistant Professor at Bar-Ilan University, Israel, JSD and LLM from the University of Chicago School of Law, LLB and LLM from the Tel-Aviv School of Law; Columbia Journal of Tax Law, “To Confuse and Protect: Taxes and Consumer Protection,” vol. </w:t>
      </w:r>
      <w:r>
        <w:rPr>
          <w:b w:val="0"/>
          <w:i w:val="0"/>
          <w:smallCaps w:val="0"/>
          <w:strike w:val="0"/>
          <w:u w:val="none"/>
        </w:rPr>
        <w:t>1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(iii) Complexity: Adopting differentiated commodity tax rates can be socially advisable if it proves to be too complicated (i.e., costly) to tax every kind of good or service.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Certain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services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may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difficult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tax, 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taxes on these goods or services may be difficult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enforce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due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monitoring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measurement difficulties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). For example,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services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intangible property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typically not taxed under U.S. state sales tax for this reason</w:t>
      </w:r>
      <w:r>
        <w:rPr>
          <w:b w:val="0"/>
          <w:i w:val="0"/>
          <w:smallCaps w:val="0"/>
          <w:strike w:val="0"/>
          <w:sz w:val="16"/>
          <w:u w:val="none"/>
        </w:rPr>
        <w:t>; 139 financial services are not always taxed under VAT systems for a similar reason. 140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