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Shelters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loopholes</w:t>
      </w:r>
      <w:r>
        <w:rPr>
          <w:b/>
          <w:i w:val="0"/>
          <w:smallCaps w:val="0"/>
          <w:strike w:val="0"/>
          <w:sz w:val="26"/>
          <w:u w:val="none"/>
        </w:rPr>
        <w:t xml:space="preserve"> dilute the impact.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Rapp ‘1 </w:t>
      </w:r>
      <w:r>
        <w:rPr>
          <w:b w:val="0"/>
          <w:i w:val="0"/>
          <w:smallCaps w:val="0"/>
          <w:strike w:val="0"/>
          <w:u w:val="none"/>
        </w:rPr>
        <w:t>[Geoffrey; 2001; JD from Yale Law School, AB in Economics from Harvard University; University of Missouri-Kansas City Law Review, “Monopoly's Hidden Justice: How Lax Antitrust Enforcement May Stimulate Charitable Giving and Overcome the Political Economy Barriers to Redistributive Taxation,” vol. 70]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Third, the political economy of taxation could interfere with this "natural" approach to redistribution. Obviously, taxing the poor to provide for the poor makes no sense.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taxing the rich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provide for the poor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problematic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rich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incentives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fight changes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 code,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then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evade</w:t>
      </w:r>
      <w:r>
        <w:rPr>
          <w:b/>
          <w:i w:val="0"/>
          <w:smallCaps w:val="0"/>
          <w:strike w:val="0"/>
          <w:sz w:val="24"/>
          <w:u w:val="single"/>
        </w:rPr>
        <w:t xml:space="preserve"> enacted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modifications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use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loopholes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shelters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Although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empirical question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whether raising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marginal tax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wealthy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meaningfully increases revenues remains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unanswered</w:t>
      </w:r>
      <w:r>
        <w:rPr>
          <w:b w:val="0"/>
          <w:i w:val="0"/>
          <w:smallCaps w:val="0"/>
          <w:strike w:val="0"/>
          <w:sz w:val="16"/>
          <w:u w:val="none"/>
        </w:rPr>
        <w:t>, 11 the assumption here is that political leaders have largely made up their minds about the difficulty of taxing the rich to pay for the poor. As a result, even if the rich could be taxed successfully to generate revenues for the sake of redistribution, practically, this may no longer be possible. This situation leaves the Rawlsian legislator with a last option: taxing the middle class. Any Congressman interested in re-election under this anti-tax polity has to know that arguing for increases in middle-class tax rates could amount to virtual political suicide. 12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