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Even if they’re </w:t>
      </w:r>
      <w:r>
        <w:rPr>
          <w:b/>
          <w:i w:val="0"/>
          <w:smallCaps w:val="0"/>
          <w:strike w:val="0"/>
          <w:sz w:val="26"/>
          <w:u w:val="single"/>
        </w:rPr>
        <w:t>aware</w:t>
      </w:r>
      <w:r>
        <w:rPr>
          <w:b/>
          <w:i w:val="0"/>
          <w:smallCaps w:val="0"/>
          <w:strike w:val="0"/>
          <w:sz w:val="26"/>
          <w:u w:val="none"/>
        </w:rPr>
        <w:t xml:space="preserve"> of unpaid taxes, IRS is </w:t>
      </w:r>
      <w:r>
        <w:rPr>
          <w:b/>
          <w:i w:val="0"/>
          <w:smallCaps w:val="0"/>
          <w:strike w:val="0"/>
          <w:sz w:val="26"/>
          <w:u w:val="single"/>
        </w:rPr>
        <w:t>too overstretched</w:t>
      </w:r>
      <w:r>
        <w:rPr>
          <w:b/>
          <w:i w:val="0"/>
          <w:smallCaps w:val="0"/>
          <w:strike w:val="0"/>
          <w:sz w:val="26"/>
          <w:u w:val="none"/>
        </w:rPr>
        <w:t xml:space="preserve"> to </w:t>
      </w:r>
      <w:r>
        <w:rPr>
          <w:b/>
          <w:i w:val="0"/>
          <w:smallCaps w:val="0"/>
          <w:strike w:val="0"/>
          <w:sz w:val="26"/>
          <w:u w:val="single"/>
        </w:rPr>
        <w:t>prosecute</w:t>
      </w:r>
      <w:r>
        <w:rPr>
          <w:b/>
          <w:i w:val="0"/>
          <w:smallCaps w:val="0"/>
          <w:strike w:val="0"/>
          <w:sz w:val="26"/>
          <w:u w:val="none"/>
        </w:rPr>
        <w:t>.</w:t>
      </w:r>
    </w:p>
    <w:p>
      <w:pPr>
        <w:spacing w:after="80"/>
      </w:pPr>
      <w:r>
        <w:rPr>
          <w:b/>
          <w:i w:val="0"/>
          <w:smallCaps w:val="0"/>
          <w:strike w:val="0"/>
          <w:sz w:val="26"/>
          <w:u w:val="none"/>
        </w:rPr>
        <w:t xml:space="preserve">Huang ’20 </w:t>
      </w:r>
      <w:r>
        <w:rPr>
          <w:b w:val="0"/>
          <w:i w:val="0"/>
          <w:smallCaps w:val="0"/>
          <w:strike w:val="0"/>
          <w:u w:val="none"/>
        </w:rPr>
        <w:t>[Chye-Ching; February 11; Senior Director of Economic Policy of the Federal Fiscal Policy Team at the Center on Budget and Policy Priorities, LLM from Columbia Law School, Bachelor of Commerce in Economics from the University of Auckland; Center on Budget and Policy Priorities, “Depletion of IRS Enforcement Is Undermining the Tax Code,” https://www.cbpp.org/research/federal-tax/depletion-of-irs-enforcement-is-undermining-the-tax-code]</w:t>
      </w:r>
    </w:p>
    <w:p>
      <w:pPr>
        <w:spacing w:after="60"/>
      </w:pPr>
      <w:r>
        <w:rPr>
          <w:b w:val="0"/>
          <w:i w:val="0"/>
          <w:smallCaps w:val="0"/>
          <w:strike w:val="0"/>
          <w:sz w:val="22"/>
          <w:u w:val="single"/>
        </w:rPr>
        <w:t xml:space="preserve">Funding </w:t>
      </w:r>
      <w:r>
        <w:rPr>
          <w:b w:val="0"/>
          <w:i w:val="0"/>
          <w:smallCaps w:val="0"/>
          <w:strike w:val="0"/>
          <w:sz w:val="22"/>
          <w:highlight w:val="cyan"/>
          <w:u w:val="single"/>
        </w:rPr>
        <w:t>cuts</w:t>
      </w:r>
      <w:r>
        <w:rPr>
          <w:b w:val="0"/>
          <w:i w:val="0"/>
          <w:smallCaps w:val="0"/>
          <w:strike w:val="0"/>
          <w:sz w:val="22"/>
          <w:u w:val="single"/>
        </w:rPr>
        <w:t xml:space="preserve"> have</w:t>
      </w:r>
      <w:r>
        <w:rPr>
          <w:b w:val="0"/>
          <w:i w:val="0"/>
          <w:smallCaps w:val="0"/>
          <w:strike w:val="0"/>
          <w:sz w:val="16"/>
          <w:u w:val="none"/>
        </w:rPr>
        <w:t xml:space="preserve"> also </w:t>
      </w:r>
      <w:r>
        <w:rPr>
          <w:b w:val="0"/>
          <w:i w:val="0"/>
          <w:smallCaps w:val="0"/>
          <w:strike w:val="0"/>
          <w:sz w:val="22"/>
          <w:highlight w:val="cyan"/>
          <w:u w:val="single"/>
        </w:rPr>
        <w:t>reduced</w:t>
      </w:r>
      <w:r>
        <w:rPr>
          <w:b w:val="0"/>
          <w:i w:val="0"/>
          <w:smallCaps w:val="0"/>
          <w:strike w:val="0"/>
          <w:sz w:val="22"/>
          <w:u w:val="single"/>
        </w:rPr>
        <w:t xml:space="preserve"> the </w:t>
      </w:r>
      <w:r>
        <w:rPr>
          <w:b w:val="0"/>
          <w:i w:val="0"/>
          <w:smallCaps w:val="0"/>
          <w:strike w:val="0"/>
          <w:sz w:val="22"/>
          <w:highlight w:val="cyan"/>
          <w:u w:val="single"/>
        </w:rPr>
        <w:t>IRS’ ability to</w:t>
      </w:r>
      <w:r>
        <w:rPr>
          <w:b w:val="0"/>
          <w:i w:val="0"/>
          <w:smallCaps w:val="0"/>
          <w:strike w:val="0"/>
          <w:sz w:val="22"/>
          <w:u w:val="single"/>
        </w:rPr>
        <w:t xml:space="preserve"> </w:t>
      </w:r>
      <w:r>
        <w:rPr>
          <w:b/>
          <w:i w:val="0"/>
          <w:smallCaps w:val="0"/>
          <w:strike w:val="0"/>
          <w:sz w:val="24"/>
          <w:u w:val="single"/>
        </w:rPr>
        <w:t>detect</w:t>
      </w:r>
      <w:r>
        <w:rPr>
          <w:b w:val="0"/>
          <w:i w:val="0"/>
          <w:smallCaps w:val="0"/>
          <w:strike w:val="0"/>
          <w:sz w:val="22"/>
          <w:u w:val="single"/>
        </w:rPr>
        <w:t xml:space="preserve"> and </w:t>
      </w:r>
      <w:r>
        <w:rPr>
          <w:b/>
          <w:i w:val="0"/>
          <w:smallCaps w:val="0"/>
          <w:strike w:val="0"/>
          <w:sz w:val="24"/>
          <w:highlight w:val="cyan"/>
          <w:u w:val="single"/>
        </w:rPr>
        <w:t>prosecute</w:t>
      </w:r>
      <w:r>
        <w:rPr>
          <w:b w:val="0"/>
          <w:i w:val="0"/>
          <w:smallCaps w:val="0"/>
          <w:strike w:val="0"/>
          <w:sz w:val="22"/>
          <w:u w:val="single"/>
        </w:rPr>
        <w:t xml:space="preserve"> tax </w:t>
      </w:r>
      <w:r>
        <w:rPr>
          <w:b w:val="0"/>
          <w:i w:val="0"/>
          <w:smallCaps w:val="0"/>
          <w:strike w:val="0"/>
          <w:sz w:val="22"/>
          <w:highlight w:val="cyan"/>
          <w:u w:val="single"/>
        </w:rPr>
        <w:t>evasion</w:t>
      </w:r>
      <w:r>
        <w:rPr>
          <w:b w:val="0"/>
          <w:i w:val="0"/>
          <w:smallCaps w:val="0"/>
          <w:strike w:val="0"/>
          <w:sz w:val="22"/>
          <w:u w:val="single"/>
        </w:rPr>
        <w:t xml:space="preserve"> and corruption. </w:t>
      </w:r>
      <w:r>
        <w:rPr>
          <w:b w:val="0"/>
          <w:i w:val="0"/>
          <w:smallCaps w:val="0"/>
          <w:strike w:val="0"/>
          <w:sz w:val="22"/>
          <w:highlight w:val="cyan"/>
          <w:u w:val="single"/>
        </w:rPr>
        <w:t>Cases brought by</w:t>
      </w:r>
      <w:r>
        <w:rPr>
          <w:b w:val="0"/>
          <w:i w:val="0"/>
          <w:smallCaps w:val="0"/>
          <w:strike w:val="0"/>
          <w:sz w:val="22"/>
          <w:u w:val="single"/>
        </w:rPr>
        <w:t xml:space="preserve"> the </w:t>
      </w:r>
      <w:r>
        <w:rPr>
          <w:b w:val="0"/>
          <w:i w:val="0"/>
          <w:smallCaps w:val="0"/>
          <w:strike w:val="0"/>
          <w:sz w:val="22"/>
          <w:highlight w:val="cyan"/>
          <w:u w:val="single"/>
        </w:rPr>
        <w:t>IRS’ criminal division</w:t>
      </w:r>
      <w:r>
        <w:rPr>
          <w:b w:val="0"/>
          <w:i w:val="0"/>
          <w:smallCaps w:val="0"/>
          <w:strike w:val="0"/>
          <w:sz w:val="22"/>
          <w:u w:val="single"/>
        </w:rPr>
        <w:t xml:space="preserve"> have </w:t>
      </w:r>
      <w:r>
        <w:rPr>
          <w:b/>
          <w:i w:val="0"/>
          <w:smallCaps w:val="0"/>
          <w:strike w:val="0"/>
          <w:sz w:val="24"/>
          <w:highlight w:val="cyan"/>
          <w:u w:val="single"/>
        </w:rPr>
        <w:t>dropped</w:t>
      </w:r>
      <w:r>
        <w:rPr>
          <w:b w:val="0"/>
          <w:i w:val="0"/>
          <w:smallCaps w:val="0"/>
          <w:strike w:val="0"/>
          <w:sz w:val="22"/>
          <w:u w:val="single"/>
        </w:rPr>
        <w:t xml:space="preserve"> by about </w:t>
      </w:r>
      <w:r>
        <w:rPr>
          <w:b w:val="0"/>
          <w:i w:val="0"/>
          <w:smallCaps w:val="0"/>
          <w:strike w:val="0"/>
          <w:sz w:val="22"/>
          <w:highlight w:val="cyan"/>
          <w:u w:val="single"/>
        </w:rPr>
        <w:t xml:space="preserve">a </w:t>
      </w:r>
      <w:r>
        <w:rPr>
          <w:b/>
          <w:i w:val="0"/>
          <w:smallCaps w:val="0"/>
          <w:strike w:val="0"/>
          <w:sz w:val="24"/>
          <w:highlight w:val="cyan"/>
          <w:u w:val="single"/>
        </w:rPr>
        <w:t>quarter</w:t>
      </w:r>
      <w:r>
        <w:rPr>
          <w:b w:val="0"/>
          <w:i w:val="0"/>
          <w:smallCaps w:val="0"/>
          <w:strike w:val="0"/>
          <w:sz w:val="22"/>
          <w:u w:val="single"/>
        </w:rPr>
        <w:t xml:space="preserve"> since 2010</w:t>
      </w:r>
      <w:r>
        <w:rPr>
          <w:b w:val="0"/>
          <w:i w:val="0"/>
          <w:smallCaps w:val="0"/>
          <w:strike w:val="0"/>
          <w:sz w:val="16"/>
          <w:u w:val="none"/>
        </w:rPr>
        <w:t xml:space="preserve">.[12] As ProPublica notes, </w:t>
      </w:r>
      <w:r>
        <w:rPr>
          <w:b w:val="0"/>
          <w:i w:val="0"/>
          <w:smallCaps w:val="0"/>
          <w:strike w:val="0"/>
          <w:sz w:val="22"/>
          <w:highlight w:val="cyan"/>
          <w:u w:val="single"/>
        </w:rPr>
        <w:t>recent</w:t>
      </w:r>
      <w:r>
        <w:rPr>
          <w:b w:val="0"/>
          <w:i w:val="0"/>
          <w:smallCaps w:val="0"/>
          <w:strike w:val="0"/>
          <w:sz w:val="22"/>
          <w:u w:val="single"/>
        </w:rPr>
        <w:t xml:space="preserve"> high-profile </w:t>
      </w:r>
      <w:r>
        <w:rPr>
          <w:b w:val="0"/>
          <w:i w:val="0"/>
          <w:smallCaps w:val="0"/>
          <w:strike w:val="0"/>
          <w:sz w:val="22"/>
          <w:highlight w:val="cyan"/>
          <w:u w:val="single"/>
        </w:rPr>
        <w:t>prosecutions</w:t>
      </w:r>
      <w:r>
        <w:rPr>
          <w:b w:val="0"/>
          <w:i w:val="0"/>
          <w:smallCaps w:val="0"/>
          <w:strike w:val="0"/>
          <w:sz w:val="22"/>
          <w:u w:val="single"/>
        </w:rPr>
        <w:t xml:space="preserve"> for tax evasion</w:t>
      </w:r>
      <w:r>
        <w:rPr>
          <w:b w:val="0"/>
          <w:i w:val="0"/>
          <w:smallCaps w:val="0"/>
          <w:strike w:val="0"/>
          <w:sz w:val="16"/>
          <w:u w:val="none"/>
        </w:rPr>
        <w:t xml:space="preserve">, including of Paul Manafort, Michael Cohen, and Michael Avenatti, </w:t>
      </w:r>
      <w:r>
        <w:rPr>
          <w:b w:val="0"/>
          <w:i w:val="0"/>
          <w:smallCaps w:val="0"/>
          <w:strike w:val="0"/>
          <w:sz w:val="22"/>
          <w:highlight w:val="cyan"/>
          <w:u w:val="single"/>
        </w:rPr>
        <w:t>occurred because they attracted</w:t>
      </w:r>
      <w:r>
        <w:rPr>
          <w:b w:val="0"/>
          <w:i w:val="0"/>
          <w:smallCaps w:val="0"/>
          <w:strike w:val="0"/>
          <w:sz w:val="22"/>
          <w:u w:val="single"/>
        </w:rPr>
        <w:t xml:space="preserve"> the </w:t>
      </w:r>
      <w:r>
        <w:rPr>
          <w:b w:val="0"/>
          <w:i w:val="0"/>
          <w:smallCaps w:val="0"/>
          <w:strike w:val="0"/>
          <w:sz w:val="22"/>
          <w:highlight w:val="cyan"/>
          <w:u w:val="single"/>
        </w:rPr>
        <w:t>attention</w:t>
      </w:r>
      <w:r>
        <w:rPr>
          <w:b w:val="0"/>
          <w:i w:val="0"/>
          <w:smallCaps w:val="0"/>
          <w:strike w:val="0"/>
          <w:sz w:val="22"/>
          <w:u w:val="single"/>
        </w:rPr>
        <w:t xml:space="preserve"> of federal investigators </w:t>
      </w:r>
      <w:r>
        <w:rPr>
          <w:b w:val="0"/>
          <w:i w:val="0"/>
          <w:smallCaps w:val="0"/>
          <w:strike w:val="0"/>
          <w:sz w:val="22"/>
          <w:highlight w:val="cyan"/>
          <w:u w:val="single"/>
        </w:rPr>
        <w:t xml:space="preserve">for </w:t>
      </w:r>
      <w:r>
        <w:rPr>
          <w:b/>
          <w:i w:val="0"/>
          <w:smallCaps w:val="0"/>
          <w:strike w:val="0"/>
          <w:sz w:val="24"/>
          <w:highlight w:val="cyan"/>
          <w:u w:val="single"/>
        </w:rPr>
        <w:t>other reasons</w:t>
      </w:r>
      <w:r>
        <w:rPr>
          <w:b w:val="0"/>
          <w:i w:val="0"/>
          <w:smallCaps w:val="0"/>
          <w:strike w:val="0"/>
          <w:sz w:val="16"/>
          <w:u w:val="none"/>
        </w:rPr>
        <w:t xml:space="preserve">.[13] </w:t>
      </w:r>
      <w:r>
        <w:rPr>
          <w:b w:val="0"/>
          <w:i w:val="0"/>
          <w:smallCaps w:val="0"/>
          <w:strike w:val="0"/>
          <w:sz w:val="22"/>
          <w:u w:val="single"/>
        </w:rPr>
        <w:t>Such trends may</w:t>
      </w:r>
      <w:r>
        <w:rPr>
          <w:b w:val="0"/>
          <w:i w:val="0"/>
          <w:smallCaps w:val="0"/>
          <w:strike w:val="0"/>
          <w:sz w:val="16"/>
          <w:u w:val="none"/>
        </w:rPr>
        <w:t xml:space="preserve">, in turn, </w:t>
      </w:r>
      <w:r>
        <w:rPr>
          <w:b w:val="0"/>
          <w:i w:val="0"/>
          <w:smallCaps w:val="0"/>
          <w:strike w:val="0"/>
          <w:sz w:val="22"/>
          <w:u w:val="single"/>
        </w:rPr>
        <w:t xml:space="preserve">hurt anti-corruption efforts more </w:t>
      </w:r>
      <w:r>
        <w:rPr>
          <w:b/>
          <w:i w:val="0"/>
          <w:smallCaps w:val="0"/>
          <w:strike w:val="0"/>
          <w:sz w:val="24"/>
          <w:u w:val="single"/>
        </w:rPr>
        <w:t>generally</w:t>
      </w:r>
      <w:r>
        <w:rPr>
          <w:b w:val="0"/>
          <w:i w:val="0"/>
          <w:smallCaps w:val="0"/>
          <w:strike w:val="0"/>
          <w:sz w:val="16"/>
          <w:u w:val="none"/>
        </w:rPr>
        <w:t>: as an OECD-World Bank report notes, “[while] viewed as distinct crimes, tax crime and corruption are often intrinsically linked.”[14]</w:t>
      </w:r>
    </w:p>
    <w:p>
      <w:pPr>
        <w:spacing w:after="60"/>
      </w:pPr>
      <w:r>
        <w:rPr>
          <w:b w:val="0"/>
          <w:i w:val="0"/>
          <w:smallCaps w:val="0"/>
          <w:strike w:val="0"/>
          <w:sz w:val="22"/>
          <w:u w:val="single"/>
        </w:rPr>
        <w:t xml:space="preserve">Funding </w:t>
      </w:r>
      <w:r>
        <w:rPr>
          <w:b w:val="0"/>
          <w:i w:val="0"/>
          <w:smallCaps w:val="0"/>
          <w:strike w:val="0"/>
          <w:sz w:val="22"/>
          <w:highlight w:val="cyan"/>
          <w:u w:val="single"/>
        </w:rPr>
        <w:t>cuts</w:t>
      </w:r>
      <w:r>
        <w:rPr>
          <w:b w:val="0"/>
          <w:i w:val="0"/>
          <w:smallCaps w:val="0"/>
          <w:strike w:val="0"/>
          <w:sz w:val="22"/>
          <w:u w:val="single"/>
        </w:rPr>
        <w:t xml:space="preserve"> that </w:t>
      </w:r>
      <w:r>
        <w:rPr>
          <w:b/>
          <w:i w:val="0"/>
          <w:smallCaps w:val="0"/>
          <w:strike w:val="0"/>
          <w:sz w:val="24"/>
          <w:highlight w:val="cyan"/>
          <w:u w:val="single"/>
        </w:rPr>
        <w:t>hobble</w:t>
      </w:r>
      <w:r>
        <w:rPr>
          <w:b/>
          <w:i w:val="0"/>
          <w:smallCaps w:val="0"/>
          <w:strike w:val="0"/>
          <w:sz w:val="24"/>
          <w:u w:val="single"/>
        </w:rPr>
        <w:t xml:space="preserve"> IRS </w:t>
      </w:r>
      <w:r>
        <w:rPr>
          <w:b/>
          <w:i w:val="0"/>
          <w:smallCaps w:val="0"/>
          <w:strike w:val="0"/>
          <w:sz w:val="24"/>
          <w:highlight w:val="cyan"/>
          <w:u w:val="single"/>
        </w:rPr>
        <w:t>enforcement</w:t>
      </w:r>
      <w:r>
        <w:rPr>
          <w:b w:val="0"/>
          <w:i w:val="0"/>
          <w:smallCaps w:val="0"/>
          <w:strike w:val="0"/>
          <w:sz w:val="16"/>
          <w:u w:val="none"/>
        </w:rPr>
        <w:t xml:space="preserve"> and empower the well-resourced to game the tax code not only shrink federal revenue, but also undermine honest filers’ confidence in the integrity of the tax system. This is a serious threat to a system that relies on voluntary compliance.</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