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Firms will </w:t>
      </w:r>
      <w:r>
        <w:rPr>
          <w:b/>
          <w:i w:val="0"/>
          <w:smallCaps w:val="0"/>
          <w:strike w:val="0"/>
          <w:sz w:val="26"/>
          <w:u w:val="single"/>
        </w:rPr>
        <w:t>register abroad</w:t>
      </w:r>
      <w:r>
        <w:rPr>
          <w:b/>
          <w:i w:val="0"/>
          <w:smallCaps w:val="0"/>
          <w:strike w:val="0"/>
          <w:sz w:val="26"/>
          <w:u w:val="none"/>
        </w:rPr>
        <w:t xml:space="preserve">, evading the tax through </w:t>
      </w:r>
      <w:r>
        <w:rPr>
          <w:b/>
          <w:i w:val="0"/>
          <w:smallCaps w:val="0"/>
          <w:strike w:val="0"/>
          <w:sz w:val="26"/>
          <w:u w:val="single"/>
        </w:rPr>
        <w:t>functional offshoring</w:t>
      </w:r>
      <w:r>
        <w:rPr>
          <w:b/>
          <w:i w:val="0"/>
          <w:smallCaps w:val="0"/>
          <w:strike w:val="0"/>
          <w:sz w:val="26"/>
          <w:u w:val="none"/>
        </w:rPr>
        <w:t xml:space="preserve"> AND countermeasures </w:t>
      </w:r>
      <w:r>
        <w:rPr>
          <w:b/>
          <w:i w:val="0"/>
          <w:smallCaps w:val="0"/>
          <w:strike w:val="0"/>
          <w:sz w:val="26"/>
          <w:u w:val="single"/>
        </w:rPr>
        <w:t>fail</w:t>
      </w:r>
      <w:r>
        <w:rPr>
          <w:b/>
          <w:i w:val="0"/>
          <w:smallCaps w:val="0"/>
          <w:strike w:val="0"/>
          <w:sz w:val="26"/>
          <w:u w:val="none"/>
        </w:rPr>
        <w:t>.</w:t>
      </w:r>
    </w:p>
    <w:p>
      <w:pPr>
        <w:spacing w:after="80"/>
      </w:pPr>
      <w:r>
        <w:rPr>
          <w:b/>
          <w:i w:val="0"/>
          <w:smallCaps w:val="0"/>
          <w:strike w:val="0"/>
          <w:sz w:val="26"/>
          <w:u w:val="none"/>
        </w:rPr>
        <w:t xml:space="preserve">Bilicka ’20 </w:t>
      </w:r>
      <w:r>
        <w:rPr>
          <w:b w:val="0"/>
          <w:i w:val="0"/>
          <w:smallCaps w:val="0"/>
          <w:strike w:val="0"/>
          <w:u w:val="none"/>
        </w:rPr>
        <w:t xml:space="preserve">[Katarzyna; September 29; Assistant Professor of Economics at Utah State University’s Jon M. Huntsman School of Business, international research fellow at the Oxford University Centre for Business Taxation; LSE Blog, “How multinationals circumvent anti tax-avoidance regulations,” </w:t>
      </w:r>
      <w:r>
        <w:rPr>
          <w:b w:val="0"/>
          <w:i w:val="0"/>
          <w:smallCaps w:val="0"/>
          <w:strike w:val="0"/>
          <w:u w:val="none"/>
        </w:rPr>
        <w:t>]</w:t>
      </w:r>
    </w:p>
    <w:p>
      <w:pPr>
        <w:spacing w:after="60"/>
      </w:pPr>
      <w:r>
        <w:rPr>
          <w:b w:val="0"/>
          <w:i w:val="0"/>
          <w:smallCaps w:val="0"/>
          <w:strike w:val="0"/>
          <w:sz w:val="16"/>
          <w:u w:val="none"/>
        </w:rPr>
        <w:t xml:space="preserve">Multinational tax avoidance has been a subject of political discussion in recent years, as </w:t>
      </w:r>
      <w:r>
        <w:rPr>
          <w:b w:val="0"/>
          <w:i w:val="0"/>
          <w:smallCaps w:val="0"/>
          <w:strike w:val="0"/>
          <w:sz w:val="22"/>
          <w:u w:val="single"/>
        </w:rPr>
        <w:t xml:space="preserve">there </w:t>
      </w:r>
      <w:r>
        <w:rPr>
          <w:b w:val="0"/>
          <w:i w:val="0"/>
          <w:smallCaps w:val="0"/>
          <w:strike w:val="0"/>
          <w:sz w:val="22"/>
          <w:highlight w:val="cyan"/>
          <w:u w:val="single"/>
        </w:rPr>
        <w:t xml:space="preserve">is </w:t>
      </w:r>
      <w:r>
        <w:rPr>
          <w:b/>
          <w:i w:val="0"/>
          <w:smallCaps w:val="0"/>
          <w:strike w:val="0"/>
          <w:sz w:val="24"/>
          <w:highlight w:val="cyan"/>
          <w:u w:val="single"/>
        </w:rPr>
        <w:t>growing ev</w:t>
      </w:r>
      <w:r>
        <w:rPr>
          <w:b w:val="0"/>
          <w:i w:val="0"/>
          <w:smallCaps w:val="0"/>
          <w:strike w:val="0"/>
          <w:sz w:val="22"/>
          <w:u w:val="single"/>
        </w:rPr>
        <w:t>idence</w:t>
      </w:r>
      <w:r>
        <w:rPr>
          <w:b w:val="0"/>
          <w:i w:val="0"/>
          <w:smallCaps w:val="0"/>
          <w:strike w:val="0"/>
          <w:sz w:val="22"/>
          <w:u w:val="single"/>
        </w:rPr>
        <w:t xml:space="preserve"> that </w:t>
      </w:r>
      <w:r>
        <w:rPr>
          <w:b/>
          <w:i w:val="0"/>
          <w:smallCaps w:val="0"/>
          <w:strike w:val="0"/>
          <w:sz w:val="24"/>
          <w:highlight w:val="cyan"/>
          <w:u w:val="single"/>
        </w:rPr>
        <w:t>m</w:t>
      </w:r>
      <w:r>
        <w:rPr>
          <w:b w:val="0"/>
          <w:i w:val="0"/>
          <w:smallCaps w:val="0"/>
          <w:strike w:val="0"/>
          <w:sz w:val="22"/>
          <w:u w:val="single"/>
        </w:rPr>
        <w:t xml:space="preserve">ultinational </w:t>
      </w:r>
      <w:r>
        <w:rPr>
          <w:b/>
          <w:i w:val="0"/>
          <w:smallCaps w:val="0"/>
          <w:strike w:val="0"/>
          <w:sz w:val="24"/>
          <w:highlight w:val="cyan"/>
          <w:u w:val="single"/>
        </w:rPr>
        <w:t>c</w:t>
      </w:r>
      <w:r>
        <w:rPr>
          <w:b w:val="0"/>
          <w:i w:val="0"/>
          <w:smallCaps w:val="0"/>
          <w:strike w:val="0"/>
          <w:sz w:val="22"/>
          <w:u w:val="single"/>
        </w:rPr>
        <w:t>orporatio</w:t>
      </w:r>
      <w:r>
        <w:rPr>
          <w:b/>
          <w:i w:val="0"/>
          <w:smallCaps w:val="0"/>
          <w:strike w:val="0"/>
          <w:sz w:val="24"/>
          <w:highlight w:val="cyan"/>
          <w:u w:val="single"/>
        </w:rPr>
        <w:t>ns</w:t>
      </w:r>
      <w:r>
        <w:rPr>
          <w:b w:val="0"/>
          <w:i w:val="0"/>
          <w:smallCaps w:val="0"/>
          <w:strike w:val="0"/>
          <w:sz w:val="16"/>
          <w:u w:val="none"/>
        </w:rPr>
        <w:t xml:space="preserve"> (MNCs) </w:t>
      </w:r>
      <w:r>
        <w:rPr>
          <w:b w:val="0"/>
          <w:i w:val="0"/>
          <w:smallCaps w:val="0"/>
          <w:strike w:val="0"/>
          <w:sz w:val="22"/>
          <w:highlight w:val="cyan"/>
          <w:u w:val="single"/>
        </w:rPr>
        <w:t xml:space="preserve">pay </w:t>
      </w:r>
      <w:r>
        <w:rPr>
          <w:b/>
          <w:i w:val="0"/>
          <w:smallCaps w:val="0"/>
          <w:strike w:val="0"/>
          <w:sz w:val="24"/>
          <w:highlight w:val="cyan"/>
          <w:u w:val="single"/>
        </w:rPr>
        <w:t>little tax</w:t>
      </w:r>
      <w:r>
        <w:rPr>
          <w:b w:val="0"/>
          <w:i w:val="0"/>
          <w:smallCaps w:val="0"/>
          <w:strike w:val="0"/>
          <w:sz w:val="16"/>
          <w:u w:val="none"/>
        </w:rPr>
        <w:t xml:space="preserve">. The political pressure has been exacerbated by the revelations from Panama and Paradise papers in 2016 and 2017 that exposed details of some of the tax avoidance schemes to the public. </w:t>
      </w:r>
      <w:r>
        <w:rPr>
          <w:b/>
          <w:i w:val="0"/>
          <w:smallCaps w:val="0"/>
          <w:strike w:val="0"/>
          <w:sz w:val="24"/>
          <w:highlight w:val="cyan"/>
          <w:u w:val="single"/>
        </w:rPr>
        <w:t>Despite efforts</w:t>
      </w:r>
      <w:r>
        <w:rPr>
          <w:b w:val="0"/>
          <w:i w:val="0"/>
          <w:smallCaps w:val="0"/>
          <w:strike w:val="0"/>
          <w:sz w:val="22"/>
          <w:highlight w:val="cyan"/>
          <w:u w:val="single"/>
        </w:rPr>
        <w:t xml:space="preserve"> to curb</w:t>
      </w:r>
      <w:r>
        <w:rPr>
          <w:b w:val="0"/>
          <w:i w:val="0"/>
          <w:smallCaps w:val="0"/>
          <w:strike w:val="0"/>
          <w:sz w:val="22"/>
          <w:u w:val="single"/>
        </w:rPr>
        <w:t xml:space="preserve"> such practices, with countries around the world adopting</w:t>
      </w:r>
      <w:r>
        <w:rPr>
          <w:b w:val="0"/>
          <w:i w:val="0"/>
          <w:smallCaps w:val="0"/>
          <w:strike w:val="0"/>
          <w:sz w:val="16"/>
          <w:u w:val="none"/>
        </w:rPr>
        <w:t xml:space="preserve"> various </w:t>
      </w:r>
      <w:r>
        <w:rPr>
          <w:b w:val="0"/>
          <w:i w:val="0"/>
          <w:smallCaps w:val="0"/>
          <w:strike w:val="0"/>
          <w:sz w:val="22"/>
          <w:u w:val="single"/>
        </w:rPr>
        <w:t>anti-tax avoidance measures</w:t>
      </w:r>
      <w:r>
        <w:rPr>
          <w:b w:val="0"/>
          <w:i w:val="0"/>
          <w:smallCaps w:val="0"/>
          <w:strike w:val="0"/>
          <w:sz w:val="16"/>
          <w:u w:val="none"/>
        </w:rPr>
        <w:t xml:space="preserve"> and the Organisation for Economic Cooperation and Development (OECD) championing the Base Erosion and Profit Shifting (BEPS) initiative, </w:t>
      </w:r>
      <w:r>
        <w:rPr>
          <w:b w:val="0"/>
          <w:i w:val="0"/>
          <w:smallCaps w:val="0"/>
          <w:strike w:val="0"/>
          <w:sz w:val="22"/>
          <w:highlight w:val="cyan"/>
          <w:u w:val="single"/>
        </w:rPr>
        <w:t>the extent of</w:t>
      </w:r>
      <w:r>
        <w:rPr>
          <w:b w:val="0"/>
          <w:i w:val="0"/>
          <w:smallCaps w:val="0"/>
          <w:strike w:val="0"/>
          <w:sz w:val="22"/>
          <w:u w:val="single"/>
        </w:rPr>
        <w:t xml:space="preserve"> </w:t>
      </w:r>
      <w:r>
        <w:rPr>
          <w:b/>
          <w:i w:val="0"/>
          <w:smallCaps w:val="0"/>
          <w:strike w:val="0"/>
          <w:sz w:val="24"/>
          <w:u w:val="single"/>
        </w:rPr>
        <w:t xml:space="preserve">profit </w:t>
      </w:r>
      <w:r>
        <w:rPr>
          <w:b/>
          <w:i w:val="0"/>
          <w:smallCaps w:val="0"/>
          <w:strike w:val="0"/>
          <w:sz w:val="24"/>
          <w:highlight w:val="cyan"/>
          <w:u w:val="single"/>
        </w:rPr>
        <w:t>shifting</w:t>
      </w:r>
      <w:r>
        <w:rPr>
          <w:b w:val="0"/>
          <w:i w:val="0"/>
          <w:smallCaps w:val="0"/>
          <w:strike w:val="0"/>
          <w:sz w:val="22"/>
          <w:highlight w:val="cyan"/>
          <w:u w:val="single"/>
        </w:rPr>
        <w:t xml:space="preserve"> has been </w:t>
      </w:r>
      <w:r>
        <w:rPr>
          <w:b/>
          <w:i w:val="0"/>
          <w:smallCaps w:val="0"/>
          <w:strike w:val="0"/>
          <w:sz w:val="24"/>
          <w:highlight w:val="cyan"/>
          <w:u w:val="single"/>
        </w:rPr>
        <w:t>increasing</w:t>
      </w:r>
      <w:r>
        <w:rPr>
          <w:b w:val="0"/>
          <w:i w:val="0"/>
          <w:smallCaps w:val="0"/>
          <w:strike w:val="0"/>
          <w:sz w:val="22"/>
          <w:u w:val="single"/>
        </w:rPr>
        <w:t xml:space="preserve"> over time</w:t>
      </w:r>
      <w:r>
        <w:rPr>
          <w:b w:val="0"/>
          <w:i w:val="0"/>
          <w:smallCaps w:val="0"/>
          <w:strike w:val="0"/>
          <w:sz w:val="16"/>
          <w:u w:val="none"/>
        </w:rPr>
        <w:t xml:space="preserve">. Hence, </w:t>
      </w:r>
      <w:r>
        <w:rPr>
          <w:b w:val="0"/>
          <w:i w:val="0"/>
          <w:smallCaps w:val="0"/>
          <w:strike w:val="0"/>
          <w:sz w:val="22"/>
          <w:u w:val="single"/>
        </w:rPr>
        <w:t xml:space="preserve">it is </w:t>
      </w:r>
      <w:r>
        <w:rPr>
          <w:b/>
          <w:i w:val="0"/>
          <w:smallCaps w:val="0"/>
          <w:strike w:val="0"/>
          <w:sz w:val="24"/>
          <w:u w:val="single"/>
        </w:rPr>
        <w:t>unclear</w:t>
      </w:r>
      <w:r>
        <w:rPr>
          <w:b w:val="0"/>
          <w:i w:val="0"/>
          <w:smallCaps w:val="0"/>
          <w:strike w:val="0"/>
          <w:sz w:val="22"/>
          <w:u w:val="single"/>
        </w:rPr>
        <w:t xml:space="preserve"> how effective these measures are</w:t>
      </w:r>
      <w:r>
        <w:rPr>
          <w:b w:val="0"/>
          <w:i w:val="0"/>
          <w:smallCaps w:val="0"/>
          <w:strike w:val="0"/>
          <w:sz w:val="16"/>
          <w:u w:val="none"/>
        </w:rPr>
        <w:t>. Even less is known about how anti-tax avoidance measures affect business activities of multinational firms besides profit shifting activities.</w:t>
      </w:r>
    </w:p>
    <w:p>
      <w:pPr>
        <w:spacing w:after="60"/>
      </w:pPr>
      <w:r>
        <w:rPr>
          <w:b w:val="0"/>
          <w:i w:val="0"/>
          <w:smallCaps w:val="0"/>
          <w:strike w:val="0"/>
          <w:sz w:val="22"/>
          <w:u w:val="single"/>
        </w:rPr>
        <w:t xml:space="preserve">Profit </w:t>
      </w:r>
      <w:r>
        <w:rPr>
          <w:b w:val="0"/>
          <w:i w:val="0"/>
          <w:smallCaps w:val="0"/>
          <w:strike w:val="0"/>
          <w:sz w:val="22"/>
          <w:highlight w:val="cyan"/>
          <w:u w:val="single"/>
        </w:rPr>
        <w:t>shifting</w:t>
      </w:r>
      <w:r>
        <w:rPr>
          <w:b w:val="0"/>
          <w:i w:val="0"/>
          <w:smallCaps w:val="0"/>
          <w:strike w:val="0"/>
          <w:sz w:val="16"/>
          <w:u w:val="none"/>
        </w:rPr>
        <w:t xml:space="preserve"> generally </w:t>
      </w:r>
      <w:r>
        <w:rPr>
          <w:b w:val="0"/>
          <w:i w:val="0"/>
          <w:smallCaps w:val="0"/>
          <w:strike w:val="0"/>
          <w:sz w:val="22"/>
          <w:highlight w:val="cyan"/>
          <w:u w:val="single"/>
        </w:rPr>
        <w:t>takes three</w:t>
      </w:r>
      <w:r>
        <w:rPr>
          <w:b w:val="0"/>
          <w:i w:val="0"/>
          <w:smallCaps w:val="0"/>
          <w:strike w:val="0"/>
          <w:sz w:val="22"/>
          <w:u w:val="single"/>
        </w:rPr>
        <w:t xml:space="preserve"> major </w:t>
      </w:r>
      <w:r>
        <w:rPr>
          <w:b w:val="0"/>
          <w:i w:val="0"/>
          <w:smallCaps w:val="0"/>
          <w:strike w:val="0"/>
          <w:sz w:val="22"/>
          <w:highlight w:val="cyan"/>
          <w:u w:val="single"/>
        </w:rPr>
        <w:t xml:space="preserve">forms: </w:t>
      </w:r>
      <w:r>
        <w:rPr>
          <w:b/>
          <w:i w:val="0"/>
          <w:smallCaps w:val="0"/>
          <w:strike w:val="0"/>
          <w:sz w:val="24"/>
          <w:highlight w:val="cyan"/>
          <w:u w:val="single"/>
        </w:rPr>
        <w:t>debt</w:t>
      </w:r>
      <w:r>
        <w:rPr>
          <w:b/>
          <w:i w:val="0"/>
          <w:smallCaps w:val="0"/>
          <w:strike w:val="0"/>
          <w:sz w:val="24"/>
          <w:u w:val="single"/>
        </w:rPr>
        <w:t xml:space="preserve"> shifting</w:t>
      </w:r>
      <w:r>
        <w:rPr>
          <w:b w:val="0"/>
          <w:i w:val="0"/>
          <w:smallCaps w:val="0"/>
          <w:strike w:val="0"/>
          <w:sz w:val="22"/>
          <w:u w:val="single"/>
        </w:rPr>
        <w:t xml:space="preserve">, </w:t>
      </w:r>
      <w:r>
        <w:rPr>
          <w:b/>
          <w:i w:val="0"/>
          <w:smallCaps w:val="0"/>
          <w:strike w:val="0"/>
          <w:sz w:val="24"/>
          <w:highlight w:val="cyan"/>
          <w:u w:val="single"/>
        </w:rPr>
        <w:t>transfer pricing</w:t>
      </w:r>
      <w:r>
        <w:rPr>
          <w:b w:val="0"/>
          <w:i w:val="0"/>
          <w:smallCaps w:val="0"/>
          <w:strike w:val="0"/>
          <w:sz w:val="22"/>
          <w:highlight w:val="cyan"/>
          <w:u w:val="single"/>
        </w:rPr>
        <w:t xml:space="preserve"> and patent </w:t>
      </w:r>
      <w:r>
        <w:rPr>
          <w:b/>
          <w:i w:val="0"/>
          <w:smallCaps w:val="0"/>
          <w:strike w:val="0"/>
          <w:sz w:val="24"/>
          <w:highlight w:val="cyan"/>
          <w:u w:val="single"/>
        </w:rPr>
        <w:t>reallocation</w:t>
      </w:r>
      <w:r>
        <w:rPr>
          <w:b w:val="0"/>
          <w:i w:val="0"/>
          <w:smallCaps w:val="0"/>
          <w:strike w:val="0"/>
          <w:sz w:val="22"/>
          <w:u w:val="single"/>
        </w:rPr>
        <w:t>. Allocating debt across different</w:t>
      </w:r>
      <w:r>
        <w:rPr>
          <w:b w:val="0"/>
          <w:i w:val="0"/>
          <w:smallCaps w:val="0"/>
          <w:strike w:val="0"/>
          <w:sz w:val="16"/>
          <w:u w:val="none"/>
        </w:rPr>
        <w:t xml:space="preserve"> tax </w:t>
      </w:r>
      <w:r>
        <w:rPr>
          <w:b w:val="0"/>
          <w:i w:val="0"/>
          <w:smallCaps w:val="0"/>
          <w:strike w:val="0"/>
          <w:sz w:val="22"/>
          <w:u w:val="single"/>
        </w:rPr>
        <w:t xml:space="preserve">jurisdictions is one of the </w:t>
      </w:r>
      <w:r>
        <w:rPr>
          <w:b/>
          <w:i w:val="0"/>
          <w:smallCaps w:val="0"/>
          <w:strike w:val="0"/>
          <w:sz w:val="24"/>
          <w:u w:val="single"/>
        </w:rPr>
        <w:t>most popular</w:t>
      </w:r>
      <w:r>
        <w:rPr>
          <w:b w:val="0"/>
          <w:i w:val="0"/>
          <w:smallCaps w:val="0"/>
          <w:strike w:val="0"/>
          <w:sz w:val="22"/>
          <w:u w:val="single"/>
        </w:rPr>
        <w:t xml:space="preserve"> methods that MNCs use to </w:t>
      </w:r>
      <w:r>
        <w:rPr>
          <w:b/>
          <w:i w:val="0"/>
          <w:smallCaps w:val="0"/>
          <w:strike w:val="0"/>
          <w:sz w:val="24"/>
          <w:u w:val="single"/>
        </w:rPr>
        <w:t>lower their overall tax</w:t>
      </w:r>
      <w:r>
        <w:rPr>
          <w:b w:val="0"/>
          <w:i w:val="0"/>
          <w:smallCaps w:val="0"/>
          <w:strike w:val="0"/>
          <w:sz w:val="22"/>
          <w:u w:val="single"/>
        </w:rPr>
        <w:t xml:space="preserve"> burden</w:t>
      </w:r>
      <w:r>
        <w:rPr>
          <w:b w:val="0"/>
          <w:i w:val="0"/>
          <w:smallCaps w:val="0"/>
          <w:strike w:val="0"/>
          <w:sz w:val="16"/>
          <w:u w:val="none"/>
        </w:rPr>
        <w:t>. A subsidiary of an MNC can internally borrow money from its low-tax subsidiaries and reduce tax payments by paying interest on that debt. Interest is tax deductible; hence, it reduces firms’ taxable income. When these payments flow from high-tax countries to low tax countries, this reduces firms’ overall tax bill.</w:t>
      </w:r>
    </w:p>
    <w:p>
      <w:pPr>
        <w:spacing w:after="60"/>
      </w:pPr>
      <w:r>
        <w:rPr>
          <w:b w:val="0"/>
          <w:i w:val="0"/>
          <w:smallCaps w:val="0"/>
          <w:strike w:val="0"/>
          <w:sz w:val="16"/>
          <w:u w:val="none"/>
        </w:rPr>
        <w:t xml:space="preserve">In this paper, we answer the question of how anti tax-avoidance regulations are affecting profit shifting of multinational firms. We consider the effects of a 2010 UK reform that targeted debt-shifting. We find that following the reform, multinationals reduce the amount of debt they hold in the UK. However, we also show that these firms move the debt that they held in the UK to other high-tax countries. This debt reallocation is accompanied by real operations reallocations. Corporations affected by the reform moved a share of their total assets and employment away from the UK to where they locate their debt. Thus, this reform did not change their overall tax payment and did not limit profit shifting, as intended. Instead, </w:t>
      </w:r>
      <w:r>
        <w:rPr>
          <w:b w:val="0"/>
          <w:i w:val="0"/>
          <w:smallCaps w:val="0"/>
          <w:strike w:val="0"/>
          <w:sz w:val="22"/>
          <w:highlight w:val="cyan"/>
          <w:u w:val="single"/>
        </w:rPr>
        <w:t>our paper provides</w:t>
      </w:r>
      <w:r>
        <w:rPr>
          <w:b w:val="0"/>
          <w:i w:val="0"/>
          <w:smallCaps w:val="0"/>
          <w:strike w:val="0"/>
          <w:sz w:val="22"/>
          <w:u w:val="single"/>
        </w:rPr>
        <w:t xml:space="preserve"> </w:t>
      </w:r>
      <w:r>
        <w:rPr>
          <w:b/>
          <w:i w:val="0"/>
          <w:smallCaps w:val="0"/>
          <w:strike w:val="0"/>
          <w:sz w:val="24"/>
          <w:u w:val="single"/>
        </w:rPr>
        <w:t xml:space="preserve">novel </w:t>
      </w:r>
      <w:r>
        <w:rPr>
          <w:b/>
          <w:i w:val="0"/>
          <w:smallCaps w:val="0"/>
          <w:strike w:val="0"/>
          <w:sz w:val="24"/>
          <w:highlight w:val="cyan"/>
          <w:u w:val="single"/>
        </w:rPr>
        <w:t>evidence</w:t>
      </w:r>
      <w:r>
        <w:rPr>
          <w:b w:val="0"/>
          <w:i w:val="0"/>
          <w:smallCaps w:val="0"/>
          <w:strike w:val="0"/>
          <w:sz w:val="22"/>
          <w:highlight w:val="cyan"/>
          <w:u w:val="single"/>
        </w:rPr>
        <w:t xml:space="preserve"> o</w:t>
      </w:r>
      <w:r>
        <w:rPr>
          <w:b w:val="0"/>
          <w:i w:val="0"/>
          <w:smallCaps w:val="0"/>
          <w:strike w:val="0"/>
          <w:sz w:val="22"/>
          <w:u w:val="single"/>
        </w:rPr>
        <w:t xml:space="preserve">n the </w:t>
      </w:r>
      <w:r>
        <w:rPr>
          <w:b/>
          <w:i w:val="0"/>
          <w:smallCaps w:val="0"/>
          <w:strike w:val="0"/>
          <w:sz w:val="24"/>
          <w:highlight w:val="cyan"/>
          <w:u w:val="single"/>
        </w:rPr>
        <w:t>ineffectiveness</w:t>
      </w:r>
      <w:r>
        <w:rPr>
          <w:b w:val="0"/>
          <w:i w:val="0"/>
          <w:smallCaps w:val="0"/>
          <w:strike w:val="0"/>
          <w:sz w:val="22"/>
          <w:highlight w:val="cyan"/>
          <w:u w:val="single"/>
        </w:rPr>
        <w:t xml:space="preserve"> o</w:t>
      </w:r>
      <w:r>
        <w:rPr>
          <w:b w:val="0"/>
          <w:i w:val="0"/>
          <w:smallCaps w:val="0"/>
          <w:strike w:val="0"/>
          <w:sz w:val="22"/>
          <w:u w:val="single"/>
        </w:rPr>
        <w:t>f</w:t>
      </w:r>
      <w:r>
        <w:rPr>
          <w:b w:val="0"/>
          <w:i w:val="0"/>
          <w:smallCaps w:val="0"/>
          <w:strike w:val="0"/>
          <w:sz w:val="16"/>
          <w:u w:val="none"/>
        </w:rPr>
        <w:t xml:space="preserve"> such </w:t>
      </w:r>
      <w:r>
        <w:rPr>
          <w:b w:val="0"/>
          <w:i w:val="0"/>
          <w:smallCaps w:val="0"/>
          <w:strike w:val="0"/>
          <w:sz w:val="22"/>
          <w:highlight w:val="cyan"/>
          <w:u w:val="single"/>
        </w:rPr>
        <w:t>anti tax-avoidance</w:t>
      </w:r>
      <w:r>
        <w:rPr>
          <w:b w:val="0"/>
          <w:i w:val="0"/>
          <w:smallCaps w:val="0"/>
          <w:strike w:val="0"/>
          <w:sz w:val="22"/>
          <w:u w:val="single"/>
        </w:rPr>
        <w:t xml:space="preserve"> regulations </w:t>
      </w:r>
      <w:r>
        <w:rPr>
          <w:b w:val="0"/>
          <w:i w:val="0"/>
          <w:smallCaps w:val="0"/>
          <w:strike w:val="0"/>
          <w:sz w:val="22"/>
          <w:highlight w:val="cyan"/>
          <w:u w:val="single"/>
        </w:rPr>
        <w:t>and</w:t>
      </w:r>
      <w:r>
        <w:rPr>
          <w:b w:val="0"/>
          <w:i w:val="0"/>
          <w:smallCaps w:val="0"/>
          <w:strike w:val="0"/>
          <w:sz w:val="16"/>
          <w:u w:val="none"/>
        </w:rPr>
        <w:t xml:space="preserve"> on </w:t>
      </w:r>
      <w:r>
        <w:rPr>
          <w:b w:val="0"/>
          <w:i w:val="0"/>
          <w:smallCaps w:val="0"/>
          <w:strike w:val="0"/>
          <w:sz w:val="22"/>
          <w:highlight w:val="cyan"/>
          <w:u w:val="single"/>
        </w:rPr>
        <w:t xml:space="preserve">how multinationals </w:t>
      </w:r>
      <w:r>
        <w:rPr>
          <w:b/>
          <w:i w:val="0"/>
          <w:smallCaps w:val="0"/>
          <w:strike w:val="0"/>
          <w:sz w:val="24"/>
          <w:highlight w:val="cyan"/>
          <w:u w:val="single"/>
        </w:rPr>
        <w:t>circumvent</w:t>
      </w:r>
      <w:r>
        <w:rPr>
          <w:b w:val="0"/>
          <w:i w:val="0"/>
          <w:smallCaps w:val="0"/>
          <w:strike w:val="0"/>
          <w:sz w:val="22"/>
          <w:u w:val="single"/>
        </w:rPr>
        <w:t xml:space="preserve"> them</w:t>
      </w:r>
      <w:r>
        <w:rPr>
          <w:b w:val="0"/>
          <w:i w:val="0"/>
          <w:smallCaps w:val="0"/>
          <w:strike w:val="0"/>
          <w:sz w:val="16"/>
          <w:u w:val="none"/>
        </w:rPr>
        <w:t>.</w:t>
      </w:r>
    </w:p>
    <w:p>
      <w:pPr>
        <w:spacing w:after="60"/>
      </w:pPr>
      <w:r>
        <w:rPr>
          <w:b w:val="0"/>
          <w:i w:val="0"/>
          <w:smallCaps w:val="0"/>
          <w:strike w:val="0"/>
          <w:sz w:val="16"/>
          <w:u w:val="none"/>
        </w:rPr>
        <w:t>Before the recent corporate tax rate cuts, the UK, with its 30% corporate tax rate in 2008, was considered a high tax country, thus a preferred location for debt holdings for multinational corporations. In 2010, the UK introduced a “worldwide debt cap”, an anti tax-avoidance reform that targeted firms with large debt holdings in the UK. The reform disallowed interest deductions on excess debt for companies that had over 75% of their total debt held in the UK. In this paper, we use the introduction of this reform to consider how MNCs respond to anti tax-avoidance regulations. We compare debt and real business operations of firms that crossed this 75% threshold to those with smaller debt holdings before and after the reform.</w:t>
      </w:r>
    </w:p>
    <w:p>
      <w:pPr>
        <w:spacing w:after="60"/>
      </w:pPr>
      <w:r>
        <w:rPr>
          <w:b w:val="0"/>
          <w:i w:val="0"/>
          <w:smallCaps w:val="0"/>
          <w:strike w:val="0"/>
          <w:sz w:val="16"/>
          <w:u w:val="none"/>
        </w:rPr>
        <w:t>We show that corporations affected by the reform reduced their debt in the UK by 74% after the reform. We also show that at the same time, their debt holdings increased abroad, especially in countries with high corporate tax rates. This is consistent with shifting debt for tax-minimisation purposes. We show that this also led to the reallocation of real operations. Multinationals affected by the reform reduced total assets, fixed assets and employment in their UK subsidiaries by 7.5%, 11.4% and 3.9% respectively. At the same time, they substantially increased their real operations in their non-UK subsidiaries, especially in those to which they moved debt.</w:t>
      </w:r>
    </w:p>
    <w:p>
      <w:pPr>
        <w:spacing w:after="60"/>
      </w:pPr>
      <w:r>
        <w:rPr>
          <w:b w:val="0"/>
          <w:i w:val="0"/>
          <w:smallCaps w:val="0"/>
          <w:strike w:val="0"/>
          <w:sz w:val="16"/>
          <w:u w:val="none"/>
        </w:rPr>
        <w:t xml:space="preserve">More extremely, we also find that </w:t>
      </w:r>
      <w:r>
        <w:rPr>
          <w:b w:val="0"/>
          <w:i w:val="0"/>
          <w:smallCaps w:val="0"/>
          <w:strike w:val="0"/>
          <w:sz w:val="22"/>
          <w:highlight w:val="cyan"/>
          <w:u w:val="single"/>
        </w:rPr>
        <w:t xml:space="preserve">MNCs </w:t>
      </w:r>
      <w:r>
        <w:rPr>
          <w:b/>
          <w:i w:val="0"/>
          <w:smallCaps w:val="0"/>
          <w:strike w:val="0"/>
          <w:sz w:val="24"/>
          <w:highlight w:val="cyan"/>
          <w:u w:val="single"/>
        </w:rPr>
        <w:t>adjusted</w:t>
      </w:r>
      <w:r>
        <w:rPr>
          <w:b w:val="0"/>
          <w:i w:val="0"/>
          <w:smallCaps w:val="0"/>
          <w:strike w:val="0"/>
          <w:sz w:val="22"/>
          <w:highlight w:val="cyan"/>
          <w:u w:val="single"/>
        </w:rPr>
        <w:t xml:space="preserve"> their</w:t>
      </w:r>
      <w:r>
        <w:rPr>
          <w:b w:val="0"/>
          <w:i w:val="0"/>
          <w:smallCaps w:val="0"/>
          <w:strike w:val="0"/>
          <w:sz w:val="22"/>
          <w:u w:val="single"/>
        </w:rPr>
        <w:t xml:space="preserve"> </w:t>
      </w:r>
      <w:r>
        <w:rPr>
          <w:b/>
          <w:i w:val="0"/>
          <w:smallCaps w:val="0"/>
          <w:strike w:val="0"/>
          <w:sz w:val="24"/>
          <w:u w:val="single"/>
        </w:rPr>
        <w:t xml:space="preserve">organisational </w:t>
      </w:r>
      <w:r>
        <w:rPr>
          <w:b/>
          <w:i w:val="0"/>
          <w:smallCaps w:val="0"/>
          <w:strike w:val="0"/>
          <w:sz w:val="24"/>
          <w:highlight w:val="cyan"/>
          <w:u w:val="single"/>
        </w:rPr>
        <w:t>structures</w:t>
      </w:r>
      <w:r>
        <w:rPr>
          <w:b w:val="0"/>
          <w:i w:val="0"/>
          <w:smallCaps w:val="0"/>
          <w:strike w:val="0"/>
          <w:sz w:val="22"/>
          <w:highlight w:val="cyan"/>
          <w:u w:val="single"/>
        </w:rPr>
        <w:t xml:space="preserve"> to </w:t>
      </w:r>
      <w:r>
        <w:rPr>
          <w:b/>
          <w:i w:val="0"/>
          <w:smallCaps w:val="0"/>
          <w:strike w:val="0"/>
          <w:sz w:val="24"/>
          <w:highlight w:val="cyan"/>
          <w:u w:val="single"/>
        </w:rPr>
        <w:t>offset</w:t>
      </w:r>
      <w:r>
        <w:rPr>
          <w:b/>
          <w:i w:val="0"/>
          <w:smallCaps w:val="0"/>
          <w:strike w:val="0"/>
          <w:sz w:val="24"/>
          <w:u w:val="single"/>
        </w:rPr>
        <w:t xml:space="preserve"> the impact</w:t>
      </w:r>
      <w:r>
        <w:rPr>
          <w:b w:val="0"/>
          <w:i w:val="0"/>
          <w:smallCaps w:val="0"/>
          <w:strike w:val="0"/>
          <w:sz w:val="22"/>
          <w:u w:val="single"/>
        </w:rPr>
        <w:t xml:space="preserve"> of </w:t>
      </w:r>
      <w:r>
        <w:rPr>
          <w:b w:val="0"/>
          <w:i w:val="0"/>
          <w:smallCaps w:val="0"/>
          <w:strike w:val="0"/>
          <w:sz w:val="22"/>
          <w:highlight w:val="cyan"/>
          <w:u w:val="single"/>
        </w:rPr>
        <w:t>the</w:t>
      </w:r>
      <w:r>
        <w:rPr>
          <w:b w:val="0"/>
          <w:i w:val="0"/>
          <w:smallCaps w:val="0"/>
          <w:strike w:val="0"/>
          <w:sz w:val="22"/>
          <w:u w:val="single"/>
        </w:rPr>
        <w:t xml:space="preserve"> UK </w:t>
      </w:r>
      <w:r>
        <w:rPr>
          <w:b/>
          <w:i w:val="0"/>
          <w:smallCaps w:val="0"/>
          <w:strike w:val="0"/>
          <w:sz w:val="24"/>
          <w:highlight w:val="cyan"/>
          <w:u w:val="single"/>
        </w:rPr>
        <w:t>anti-tax avoidance</w:t>
      </w:r>
      <w:r>
        <w:rPr>
          <w:b w:val="0"/>
          <w:i w:val="0"/>
          <w:smallCaps w:val="0"/>
          <w:strike w:val="0"/>
          <w:sz w:val="22"/>
          <w:highlight w:val="cyan"/>
          <w:u w:val="single"/>
        </w:rPr>
        <w:t xml:space="preserve"> measure</w:t>
      </w:r>
      <w:r>
        <w:rPr>
          <w:b w:val="0"/>
          <w:i w:val="0"/>
          <w:smallCaps w:val="0"/>
          <w:strike w:val="0"/>
          <w:sz w:val="16"/>
          <w:u w:val="none"/>
        </w:rPr>
        <w:t xml:space="preserve">. In particular, affected corporations reduced the percentage of UK subsidiaries that were included in the calculation of the UK debt. They also increased the percentage of subsidiaries in countries with a higher tax rate than that in the UK, while reducing that in countries with a lower tax rate. Taken together, these results show that the worldwide debt cap affected corporations beyond their financing patterns, yielding real reallocation of subsidiaries, assets and employment across borders. This suggests that </w:t>
      </w:r>
      <w:r>
        <w:rPr>
          <w:b w:val="0"/>
          <w:i w:val="0"/>
          <w:smallCaps w:val="0"/>
          <w:strike w:val="0"/>
          <w:sz w:val="22"/>
          <w:u w:val="single"/>
        </w:rPr>
        <w:t xml:space="preserve">the </w:t>
      </w:r>
      <w:r>
        <w:rPr>
          <w:b/>
          <w:i w:val="0"/>
          <w:smallCaps w:val="0"/>
          <w:strike w:val="0"/>
          <w:sz w:val="24"/>
          <w:highlight w:val="cyan"/>
          <w:u w:val="single"/>
        </w:rPr>
        <w:t>unilateral</w:t>
      </w:r>
      <w:r>
        <w:rPr>
          <w:b w:val="0"/>
          <w:i w:val="0"/>
          <w:smallCaps w:val="0"/>
          <w:strike w:val="0"/>
          <w:sz w:val="22"/>
          <w:u w:val="single"/>
        </w:rPr>
        <w:t xml:space="preserve"> introduction of tax avoidance </w:t>
      </w:r>
      <w:r>
        <w:rPr>
          <w:b/>
          <w:i w:val="0"/>
          <w:smallCaps w:val="0"/>
          <w:strike w:val="0"/>
          <w:sz w:val="24"/>
          <w:highlight w:val="cyan"/>
          <w:u w:val="single"/>
        </w:rPr>
        <w:t>reg</w:t>
      </w:r>
      <w:r>
        <w:rPr>
          <w:b w:val="0"/>
          <w:i w:val="0"/>
          <w:smallCaps w:val="0"/>
          <w:strike w:val="0"/>
          <w:sz w:val="22"/>
          <w:u w:val="single"/>
        </w:rPr>
        <w:t>ulatio</w:t>
      </w:r>
      <w:r>
        <w:rPr>
          <w:b w:val="0"/>
          <w:i w:val="0"/>
          <w:smallCaps w:val="0"/>
          <w:strike w:val="0"/>
          <w:sz w:val="22"/>
          <w:highlight w:val="cyan"/>
          <w:u w:val="single"/>
        </w:rPr>
        <w:t>n</w:t>
      </w:r>
      <w:r>
        <w:rPr>
          <w:b/>
          <w:i w:val="0"/>
          <w:smallCaps w:val="0"/>
          <w:strike w:val="0"/>
          <w:sz w:val="24"/>
          <w:highlight w:val="cyan"/>
          <w:u w:val="single"/>
        </w:rPr>
        <w:t>s</w:t>
      </w:r>
      <w:r>
        <w:rPr>
          <w:b w:val="0"/>
          <w:i w:val="0"/>
          <w:smallCaps w:val="0"/>
          <w:strike w:val="0"/>
          <w:sz w:val="22"/>
          <w:highlight w:val="cyan"/>
          <w:u w:val="single"/>
        </w:rPr>
        <w:t xml:space="preserve"> may </w:t>
      </w:r>
      <w:r>
        <w:rPr>
          <w:b/>
          <w:i w:val="0"/>
          <w:smallCaps w:val="0"/>
          <w:strike w:val="0"/>
          <w:sz w:val="24"/>
          <w:highlight w:val="cyan"/>
          <w:u w:val="single"/>
        </w:rPr>
        <w:t>hurt</w:t>
      </w:r>
      <w:r>
        <w:rPr>
          <w:b/>
          <w:i w:val="0"/>
          <w:smallCaps w:val="0"/>
          <w:strike w:val="0"/>
          <w:sz w:val="24"/>
          <w:u w:val="single"/>
        </w:rPr>
        <w:t xml:space="preserve"> the size</w:t>
      </w:r>
      <w:r>
        <w:rPr>
          <w:b w:val="0"/>
          <w:i w:val="0"/>
          <w:smallCaps w:val="0"/>
          <w:strike w:val="0"/>
          <w:sz w:val="22"/>
          <w:u w:val="single"/>
        </w:rPr>
        <w:t xml:space="preserve"> of operations and employment in </w:t>
      </w:r>
      <w:r>
        <w:rPr>
          <w:b w:val="0"/>
          <w:i w:val="0"/>
          <w:smallCaps w:val="0"/>
          <w:strike w:val="0"/>
          <w:sz w:val="22"/>
          <w:highlight w:val="cyan"/>
          <w:u w:val="single"/>
        </w:rPr>
        <w:t>a country</w:t>
      </w:r>
      <w:r>
        <w:rPr>
          <w:b w:val="0"/>
          <w:i w:val="0"/>
          <w:smallCaps w:val="0"/>
          <w:strike w:val="0"/>
          <w:sz w:val="22"/>
          <w:u w:val="single"/>
        </w:rPr>
        <w:t xml:space="preserve"> that introduces them</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