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They’ll </w:t>
      </w:r>
      <w:r>
        <w:rPr>
          <w:b/>
          <w:i w:val="0"/>
          <w:smallCaps w:val="0"/>
          <w:strike w:val="0"/>
          <w:sz w:val="26"/>
          <w:u w:val="single"/>
        </w:rPr>
        <w:t>invert</w:t>
      </w:r>
      <w:r>
        <w:rPr>
          <w:b/>
          <w:i w:val="0"/>
          <w:smallCaps w:val="0"/>
          <w:strike w:val="0"/>
          <w:sz w:val="26"/>
          <w:u w:val="none"/>
        </w:rPr>
        <w:t xml:space="preserve"> to </w:t>
      </w:r>
      <w:r>
        <w:rPr>
          <w:b/>
          <w:i w:val="0"/>
          <w:smallCaps w:val="0"/>
          <w:strike w:val="0"/>
          <w:sz w:val="26"/>
          <w:u w:val="single"/>
        </w:rPr>
        <w:t>bypass</w:t>
      </w:r>
      <w:r>
        <w:rPr>
          <w:b/>
          <w:i w:val="0"/>
          <w:smallCaps w:val="0"/>
          <w:strike w:val="0"/>
          <w:sz w:val="26"/>
          <w:u w:val="none"/>
        </w:rPr>
        <w:t xml:space="preserve"> the tax.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Fox ’20 </w:t>
      </w:r>
      <w:r>
        <w:rPr>
          <w:b w:val="0"/>
          <w:i w:val="0"/>
          <w:smallCaps w:val="0"/>
          <w:strike w:val="0"/>
          <w:u w:val="none"/>
        </w:rPr>
        <w:t>[Edward and Zachary Liscow; July 2020; Assistant Professor of Law at the University of Michigan Law School; Associate Professor of Law at Yale Law School; Tax Notes Federal, “A Case for Higher Corporate Tax Rates,” vol. 167]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there are at least three types of ways in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shift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activity or profits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abroad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response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</w:t>
      </w:r>
      <w:r>
        <w:rPr>
          <w:b/>
          <w:i w:val="0"/>
          <w:smallCaps w:val="0"/>
          <w:strike w:val="0"/>
          <w:sz w:val="24"/>
          <w:u w:val="single"/>
        </w:rPr>
        <w:t xml:space="preserve"> cash flow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tax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companies may shift more of their </w:t>
      </w:r>
      <w:r>
        <w:rPr>
          <w:b/>
          <w:i w:val="0"/>
          <w:smallCaps w:val="0"/>
          <w:strike w:val="0"/>
          <w:sz w:val="24"/>
          <w:u w:val="single"/>
        </w:rPr>
        <w:t>profits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abroad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without moving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“real activity”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(that is, employment and capital investment on the ground). Common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methods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mispricing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transactions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between subsidiaries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,64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strategic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mispricing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debt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subsidiaries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,65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accounting tricks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shift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measured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income from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high-tax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jurisdictions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low</w:t>
      </w:r>
      <w:r>
        <w:rPr>
          <w:b/>
          <w:i w:val="0"/>
          <w:smallCaps w:val="0"/>
          <w:strike w:val="0"/>
          <w:sz w:val="24"/>
          <w:u w:val="single"/>
        </w:rPr>
        <w:t>-tax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ones.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step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avoid high U.S. taxes without shifting real activity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and one with high political salience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moving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corporate domicile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abroad, known 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inversion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.66 Second,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projects earning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normal return might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shift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abroad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response to a high cash flow tax, if doing so makes it easier to shift existing rents to low-tax jurisdictions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Third, </w:t>
      </w:r>
      <w:r>
        <w:rPr>
          <w:b w:val="0"/>
          <w:i w:val="0"/>
          <w:smallCaps w:val="0"/>
          <w:strike w:val="0"/>
          <w:sz w:val="22"/>
          <w:u w:val="single"/>
        </w:rPr>
        <w:t>some projects may have the potential to earn rents in multiple locales. For those projects, high taxes on rents encourage moving real activity abroad</w:t>
      </w:r>
      <w:r>
        <w:rPr>
          <w:b w:val="0"/>
          <w:i w:val="0"/>
          <w:smallCaps w:val="0"/>
          <w:strike w:val="0"/>
          <w:sz w:val="16"/>
          <w:u w:val="none"/>
        </w:rPr>
        <w:t>.67 As a result, companies sometimes consider the statutory rate, even under a cash flow tax, leading them to potentially avoid locating rent-earning projects in a jurisdiction with a high cash flow tax rate, especially if the source of the rent is relatively mobile (for example, intellectual property).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