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makes rents </w:t>
      </w:r>
      <w:r>
        <w:rPr>
          <w:b/>
          <w:i w:val="0"/>
          <w:smallCaps w:val="0"/>
          <w:strike w:val="0"/>
          <w:sz w:val="26"/>
          <w:u w:val="single"/>
        </w:rPr>
        <w:t>uncollectible</w:t>
      </w:r>
      <w:r>
        <w:rPr>
          <w:b/>
          <w:i w:val="0"/>
          <w:smallCaps w:val="0"/>
          <w:strike w:val="0"/>
          <w:sz w:val="26"/>
          <w:u w:val="none"/>
        </w:rPr>
        <w:t xml:space="preserve">, even if the U.S. </w:t>
      </w:r>
      <w:r>
        <w:rPr>
          <w:b/>
          <w:i w:val="0"/>
          <w:smallCaps w:val="0"/>
          <w:strike w:val="0"/>
          <w:sz w:val="26"/>
          <w:u w:val="single"/>
        </w:rPr>
        <w:t>tries</w:t>
      </w:r>
    </w:p>
    <w:p>
      <w:pPr>
        <w:spacing w:after="80"/>
      </w:pPr>
      <w:r>
        <w:rPr>
          <w:b/>
          <w:i w:val="0"/>
          <w:smallCaps w:val="0"/>
          <w:strike w:val="0"/>
          <w:sz w:val="26"/>
          <w:u w:val="none"/>
        </w:rPr>
        <w:t xml:space="preserve">Garbarino ’15 </w:t>
      </w:r>
      <w:r>
        <w:rPr>
          <w:b w:val="0"/>
          <w:i w:val="0"/>
          <w:smallCaps w:val="0"/>
          <w:strike w:val="0"/>
          <w:u w:val="none"/>
        </w:rPr>
        <w:t>[Carlo and Giulio Allevato; Summer 2015; Professor of Law at the Universita Bocconi, Grotius Research Scholar at the University of Michigan Law School, Hauser Global Visiting Faculty at the NYU Law School, Visiting Professor of Law at the University of Michigan Law School, Visiting Professor of Law at the University of Florida School of Law, Visiting Professor at the University of San Paulo, Visiting Scholar at the University of Michigan Law School, Visiting Professor at Sorbonne University, Paris, Visiting Scholar at Yale Law School; Assistant Professor of Tax Law at the SDA Bocconi School of Management, Ernst Mach Scholar at the Institute for Austrian and International Tax Law, Vienna University of Economics and Business, Ph.D. from the Universita Bocconi, International Tax, LL.M. from the University of Michigan Law School; Michigan Journal of International Law, “The Global Architecture of Financial Regulatory Taxes,” vol. 36]</w:t>
      </w:r>
    </w:p>
    <w:p>
      <w:pPr>
        <w:spacing w:after="60"/>
      </w:pPr>
      <w:r>
        <w:rPr>
          <w:b w:val="0"/>
          <w:i w:val="0"/>
          <w:smallCaps w:val="0"/>
          <w:strike w:val="0"/>
          <w:sz w:val="22"/>
          <w:u w:val="single"/>
        </w:rPr>
        <w:t xml:space="preserve">Under the </w:t>
      </w:r>
      <w:r>
        <w:rPr>
          <w:b/>
          <w:i w:val="0"/>
          <w:smallCaps w:val="0"/>
          <w:strike w:val="0"/>
          <w:sz w:val="24"/>
          <w:u w:val="single"/>
        </w:rPr>
        <w:t>worldwide</w:t>
      </w:r>
      <w:r>
        <w:rPr>
          <w:b w:val="0"/>
          <w:i w:val="0"/>
          <w:smallCaps w:val="0"/>
          <w:strike w:val="0"/>
          <w:sz w:val="22"/>
          <w:u w:val="single"/>
        </w:rPr>
        <w:t xml:space="preserve"> approach, </w:t>
      </w:r>
      <w:r>
        <w:rPr>
          <w:b w:val="0"/>
          <w:i w:val="0"/>
          <w:smallCaps w:val="0"/>
          <w:strike w:val="0"/>
          <w:sz w:val="22"/>
          <w:highlight w:val="cyan"/>
          <w:u w:val="single"/>
        </w:rPr>
        <w:t xml:space="preserve">a country </w:t>
      </w:r>
      <w:r>
        <w:rPr>
          <w:b/>
          <w:i w:val="0"/>
          <w:smallCaps w:val="0"/>
          <w:strike w:val="0"/>
          <w:sz w:val="24"/>
          <w:highlight w:val="cyan"/>
          <w:u w:val="single"/>
        </w:rPr>
        <w:t>unilaterally</w:t>
      </w:r>
      <w:r>
        <w:rPr>
          <w:b w:val="0"/>
          <w:i w:val="0"/>
          <w:smallCaps w:val="0"/>
          <w:strike w:val="0"/>
          <w:sz w:val="22"/>
          <w:highlight w:val="cyan"/>
          <w:u w:val="single"/>
        </w:rPr>
        <w:t xml:space="preserve"> imposes </w:t>
      </w:r>
      <w:r>
        <w:rPr>
          <w:b/>
          <w:i w:val="0"/>
          <w:smallCaps w:val="0"/>
          <w:strike w:val="0"/>
          <w:sz w:val="24"/>
          <w:highlight w:val="cyan"/>
          <w:u w:val="single"/>
        </w:rPr>
        <w:t>a</w:t>
      </w:r>
      <w:r>
        <w:rPr>
          <w:b w:val="0"/>
          <w:i w:val="0"/>
          <w:smallCaps w:val="0"/>
          <w:strike w:val="0"/>
          <w:sz w:val="22"/>
          <w:u w:val="single"/>
        </w:rPr>
        <w:t xml:space="preserve">n </w:t>
      </w:r>
      <w:r>
        <w:rPr>
          <w:b w:val="0"/>
          <w:i w:val="0"/>
          <w:smallCaps w:val="0"/>
          <w:strike w:val="0"/>
          <w:sz w:val="22"/>
          <w:highlight w:val="cyan"/>
          <w:u w:val="single"/>
        </w:rPr>
        <w:t xml:space="preserve">FTT on </w:t>
      </w:r>
      <w:r>
        <w:rPr>
          <w:b/>
          <w:i w:val="0"/>
          <w:smallCaps w:val="0"/>
          <w:strike w:val="0"/>
          <w:sz w:val="24"/>
          <w:highlight w:val="cyan"/>
          <w:u w:val="single"/>
        </w:rPr>
        <w:t>all</w:t>
      </w:r>
      <w:r>
        <w:rPr>
          <w:b w:val="0"/>
          <w:i w:val="0"/>
          <w:smallCaps w:val="0"/>
          <w:strike w:val="0"/>
          <w:sz w:val="22"/>
          <w:u w:val="single"/>
        </w:rPr>
        <w:t xml:space="preserve"> of the </w:t>
      </w:r>
      <w:r>
        <w:rPr>
          <w:b w:val="0"/>
          <w:i w:val="0"/>
          <w:smallCaps w:val="0"/>
          <w:strike w:val="0"/>
          <w:sz w:val="22"/>
          <w:highlight w:val="cyan"/>
          <w:u w:val="single"/>
        </w:rPr>
        <w:t>transactions</w:t>
      </w:r>
      <w:r>
        <w:rPr>
          <w:b w:val="0"/>
          <w:i w:val="0"/>
          <w:smallCaps w:val="0"/>
          <w:strike w:val="0"/>
          <w:sz w:val="22"/>
          <w:u w:val="single"/>
        </w:rPr>
        <w:t xml:space="preserve"> for securities issued in the country, </w:t>
      </w:r>
      <w:r>
        <w:rPr>
          <w:b/>
          <w:i w:val="0"/>
          <w:smallCaps w:val="0"/>
          <w:strike w:val="0"/>
          <w:sz w:val="24"/>
          <w:highlight w:val="cyan"/>
          <w:u w:val="single"/>
        </w:rPr>
        <w:t>regardless</w:t>
      </w:r>
      <w:r>
        <w:rPr>
          <w:b w:val="0"/>
          <w:i w:val="0"/>
          <w:smallCaps w:val="0"/>
          <w:strike w:val="0"/>
          <w:sz w:val="22"/>
          <w:highlight w:val="cyan"/>
          <w:u w:val="single"/>
        </w:rPr>
        <w:t xml:space="preserve"> of</w:t>
      </w:r>
      <w:r>
        <w:rPr>
          <w:b w:val="0"/>
          <w:i w:val="0"/>
          <w:smallCaps w:val="0"/>
          <w:strike w:val="0"/>
          <w:sz w:val="22"/>
          <w:u w:val="single"/>
        </w:rPr>
        <w:t xml:space="preserve"> the </w:t>
      </w:r>
      <w:r>
        <w:rPr>
          <w:b/>
          <w:i w:val="0"/>
          <w:smallCaps w:val="0"/>
          <w:strike w:val="0"/>
          <w:sz w:val="24"/>
          <w:highlight w:val="cyan"/>
          <w:u w:val="single"/>
        </w:rPr>
        <w:t>location</w:t>
      </w:r>
      <w:r>
        <w:rPr>
          <w:b w:val="0"/>
          <w:i w:val="0"/>
          <w:smallCaps w:val="0"/>
          <w:strike w:val="0"/>
          <w:sz w:val="16"/>
          <w:u w:val="none"/>
        </w:rPr>
        <w:t xml:space="preserve"> of the transaction or place of establishment of the parties and the intermediaries. For example, in 1964, the U.K. enacted a type of FTT (the British Stamp Duty Reserve Tax) on the transfer of ownership of shares of companies established in the U.K., regardless of the location of the transaction and the establishment of the trader. 124</w:t>
      </w:r>
    </w:p>
    <w:p>
      <w:pPr>
        <w:spacing w:after="60"/>
      </w:pPr>
      <w:r>
        <w:rPr>
          <w:b w:val="0"/>
          <w:i w:val="0"/>
          <w:smallCaps w:val="0"/>
          <w:strike w:val="0"/>
          <w:sz w:val="22"/>
          <w:u w:val="single"/>
        </w:rPr>
        <w:t>The worldwide FTT tends not to cause relocation effects</w:t>
      </w:r>
      <w:r>
        <w:rPr>
          <w:b w:val="0"/>
          <w:i w:val="0"/>
          <w:smallCaps w:val="0"/>
          <w:strike w:val="0"/>
          <w:sz w:val="16"/>
          <w:u w:val="none"/>
        </w:rPr>
        <w:t xml:space="preserve">, because transactions remain subject to the tax even if they are shifted abroad. In addition, in the U.K., prevention of the risk of relocation is effected by a special "exit charge" of 1.5% applied when shares are transferred to clearance services or converted into financial products that are excluded from the scope of the tax. 125 </w:t>
      </w:r>
      <w:r>
        <w:rPr>
          <w:b w:val="0"/>
          <w:i w:val="0"/>
          <w:smallCaps w:val="0"/>
          <w:strike w:val="0"/>
          <w:sz w:val="22"/>
          <w:highlight w:val="cyan"/>
          <w:u w:val="single"/>
        </w:rPr>
        <w:t xml:space="preserve">A </w:t>
      </w:r>
      <w:r>
        <w:rPr>
          <w:b/>
          <w:i w:val="0"/>
          <w:smallCaps w:val="0"/>
          <w:strike w:val="0"/>
          <w:sz w:val="24"/>
          <w:highlight w:val="cyan"/>
          <w:u w:val="single"/>
        </w:rPr>
        <w:t>drawback</w:t>
      </w:r>
      <w:r>
        <w:rPr>
          <w:b w:val="0"/>
          <w:i w:val="0"/>
          <w:smallCaps w:val="0"/>
          <w:strike w:val="0"/>
          <w:sz w:val="22"/>
          <w:highlight w:val="cyan"/>
          <w:u w:val="single"/>
        </w:rPr>
        <w:t xml:space="preserve"> to</w:t>
      </w:r>
      <w:r>
        <w:rPr>
          <w:b w:val="0"/>
          <w:i w:val="0"/>
          <w:smallCaps w:val="0"/>
          <w:strike w:val="0"/>
          <w:sz w:val="22"/>
          <w:u w:val="single"/>
        </w:rPr>
        <w:t xml:space="preserve"> the </w:t>
      </w:r>
      <w:r>
        <w:rPr>
          <w:b w:val="0"/>
          <w:i w:val="0"/>
          <w:smallCaps w:val="0"/>
          <w:strike w:val="0"/>
          <w:sz w:val="22"/>
          <w:highlight w:val="cyan"/>
          <w:u w:val="single"/>
        </w:rPr>
        <w:t>unilateral application</w:t>
      </w:r>
      <w:r>
        <w:rPr>
          <w:b w:val="0"/>
          <w:i w:val="0"/>
          <w:smallCaps w:val="0"/>
          <w:strike w:val="0"/>
          <w:sz w:val="22"/>
          <w:u w:val="single"/>
        </w:rPr>
        <w:t xml:space="preserve"> of a </w:t>
      </w:r>
      <w:r>
        <w:rPr>
          <w:b w:val="0"/>
          <w:i w:val="0"/>
          <w:smallCaps w:val="0"/>
          <w:strike w:val="0"/>
          <w:sz w:val="22"/>
          <w:highlight w:val="cyan"/>
          <w:u w:val="single"/>
        </w:rPr>
        <w:t>worldwide</w:t>
      </w:r>
      <w:r>
        <w:rPr>
          <w:b w:val="0"/>
          <w:i w:val="0"/>
          <w:smallCaps w:val="0"/>
          <w:strike w:val="0"/>
          <w:sz w:val="22"/>
          <w:u w:val="single"/>
        </w:rPr>
        <w:t xml:space="preserve"> FTT </w:t>
      </w:r>
      <w:r>
        <w:rPr>
          <w:b w:val="0"/>
          <w:i w:val="0"/>
          <w:smallCaps w:val="0"/>
          <w:strike w:val="0"/>
          <w:sz w:val="22"/>
          <w:highlight w:val="cyan"/>
          <w:u w:val="single"/>
        </w:rPr>
        <w:t>is</w:t>
      </w:r>
      <w:r>
        <w:rPr>
          <w:b w:val="0"/>
          <w:i w:val="0"/>
          <w:smallCaps w:val="0"/>
          <w:strike w:val="0"/>
          <w:sz w:val="22"/>
          <w:u w:val="single"/>
        </w:rPr>
        <w:t xml:space="preserve"> potential </w:t>
      </w:r>
      <w:r>
        <w:rPr>
          <w:b/>
          <w:i w:val="0"/>
          <w:smallCaps w:val="0"/>
          <w:strike w:val="0"/>
          <w:sz w:val="24"/>
          <w:highlight w:val="cyan"/>
          <w:u w:val="single"/>
        </w:rPr>
        <w:t>enforcement</w:t>
      </w:r>
      <w:r>
        <w:rPr>
          <w:b w:val="0"/>
          <w:i w:val="0"/>
          <w:smallCaps w:val="0"/>
          <w:strike w:val="0"/>
          <w:sz w:val="22"/>
          <w:highlight w:val="cyan"/>
          <w:u w:val="single"/>
        </w:rPr>
        <w:t xml:space="preserve"> and </w:t>
      </w:r>
      <w:r>
        <w:rPr>
          <w:b/>
          <w:i w:val="0"/>
          <w:smallCaps w:val="0"/>
          <w:strike w:val="0"/>
          <w:sz w:val="24"/>
          <w:highlight w:val="cyan"/>
          <w:u w:val="single"/>
        </w:rPr>
        <w:t>collection problems</w:t>
      </w:r>
      <w:r>
        <w:rPr>
          <w:b w:val="0"/>
          <w:i w:val="0"/>
          <w:smallCaps w:val="0"/>
          <w:strike w:val="0"/>
          <w:sz w:val="22"/>
          <w:highlight w:val="cyan"/>
          <w:u w:val="single"/>
        </w:rPr>
        <w:t xml:space="preserve"> with</w:t>
      </w:r>
      <w:r>
        <w:rPr>
          <w:b w:val="0"/>
          <w:i w:val="0"/>
          <w:smallCaps w:val="0"/>
          <w:strike w:val="0"/>
          <w:sz w:val="22"/>
          <w:u w:val="single"/>
        </w:rPr>
        <w:t xml:space="preserve"> regard to taxable </w:t>
      </w:r>
      <w:r>
        <w:rPr>
          <w:b w:val="0"/>
          <w:i w:val="0"/>
          <w:smallCaps w:val="0"/>
          <w:strike w:val="0"/>
          <w:sz w:val="22"/>
          <w:highlight w:val="cyan"/>
          <w:u w:val="single"/>
        </w:rPr>
        <w:t>transactions</w:t>
      </w:r>
      <w:r>
        <w:rPr>
          <w:b w:val="0"/>
          <w:i w:val="0"/>
          <w:smallCaps w:val="0"/>
          <w:strike w:val="0"/>
          <w:sz w:val="22"/>
          <w:u w:val="single"/>
        </w:rPr>
        <w:t xml:space="preserve"> carried out </w:t>
      </w:r>
      <w:r>
        <w:rPr>
          <w:b/>
          <w:i w:val="0"/>
          <w:smallCaps w:val="0"/>
          <w:strike w:val="0"/>
          <w:sz w:val="24"/>
          <w:highlight w:val="cyan"/>
          <w:u w:val="single"/>
        </w:rPr>
        <w:t>abroad</w:t>
      </w:r>
      <w:r>
        <w:rPr>
          <w:b w:val="0"/>
          <w:i w:val="0"/>
          <w:smallCaps w:val="0"/>
          <w:strike w:val="0"/>
          <w:sz w:val="16"/>
          <w:u w:val="none"/>
        </w:rPr>
        <w:t>.</w:t>
      </w:r>
    </w:p>
    <w:p>
      <w:pPr>
        <w:pStyle w:val="Caption"/>
      </w:pPr>
      <w:r>
        <w:t>Source: Balance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