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Standalone</w:t>
      </w:r>
      <w:r>
        <w:rPr>
          <w:b/>
          <w:i w:val="0"/>
          <w:smallCaps w:val="0"/>
          <w:strike w:val="0"/>
          <w:sz w:val="26"/>
          <w:u w:val="none"/>
        </w:rPr>
        <w:t xml:space="preserve"> regulatory taxes are </w:t>
      </w:r>
      <w:r>
        <w:rPr>
          <w:b/>
          <w:i w:val="0"/>
          <w:smallCaps w:val="0"/>
          <w:strike w:val="0"/>
          <w:sz w:val="26"/>
          <w:u w:val="single"/>
        </w:rPr>
        <w:t>unsustainable</w:t>
      </w:r>
      <w:r>
        <w:rPr>
          <w:b/>
          <w:i w:val="0"/>
          <w:smallCaps w:val="0"/>
          <w:strike w:val="0"/>
          <w:sz w:val="26"/>
          <w:u w:val="none"/>
        </w:rPr>
        <w:t>---</w:t>
      </w:r>
      <w:r>
        <w:rPr>
          <w:b/>
          <w:i w:val="0"/>
          <w:smallCaps w:val="0"/>
          <w:strike w:val="0"/>
          <w:sz w:val="26"/>
          <w:u w:val="single"/>
        </w:rPr>
        <w:t>only</w:t>
      </w:r>
      <w:r>
        <w:rPr>
          <w:b/>
          <w:i w:val="0"/>
          <w:smallCaps w:val="0"/>
          <w:strike w:val="0"/>
          <w:sz w:val="26"/>
          <w:u w:val="none"/>
        </w:rPr>
        <w:t xml:space="preserve"> the perm solves.</w:t>
      </w:r>
    </w:p>
    <w:p>
      <w:pPr>
        <w:spacing w:after="80"/>
      </w:pPr>
      <w:r>
        <w:rPr>
          <w:b/>
          <w:i w:val="0"/>
          <w:smallCaps w:val="0"/>
          <w:strike w:val="0"/>
          <w:sz w:val="26"/>
          <w:u w:val="none"/>
        </w:rPr>
        <w:t xml:space="preserve">Bachus ’18 </w:t>
      </w:r>
      <w:r>
        <w:rPr>
          <w:b w:val="0"/>
          <w:i w:val="0"/>
          <w:smallCaps w:val="0"/>
          <w:strike w:val="0"/>
          <w:u w:val="none"/>
        </w:rPr>
        <w:t>[Kris and Frederic Vanswijgenhoven; 2018; Research Manager Climate and Sustainability at the Research Institute for Work and Society, University of Leuven, PhD in Social Science from KU Lueven, MA in Applied Economic Science from KU Leuven, European Master’s in Labor Science from the University College, London; Research Institute for Work and Society, University of Leuven, Master’s Degree in Comparative and International Politics from KU Leuven, Master’s Degree in Applied Economic Sciences from Universiteit Hasselt; Journal of Environmental Planning and Management, “The Use of Regulatory Taxation as a Policy Instrument for Sustainability Transitions: Old Wine in New Bottles or Unexplored Potential?” vol. 61]</w:t>
      </w:r>
    </w:p>
    <w:p>
      <w:pPr>
        <w:spacing w:after="60"/>
      </w:pPr>
      <w:r>
        <w:rPr>
          <w:b w:val="0"/>
          <w:i w:val="0"/>
          <w:smallCaps w:val="0"/>
          <w:strike w:val="0"/>
          <w:sz w:val="16"/>
          <w:u w:val="none"/>
        </w:rPr>
        <w:t xml:space="preserve">5. </w:t>
      </w:r>
      <w:r>
        <w:rPr>
          <w:b/>
          <w:i w:val="0"/>
          <w:smallCaps w:val="0"/>
          <w:strike w:val="0"/>
          <w:sz w:val="24"/>
          <w:highlight w:val="cyan"/>
          <w:u w:val="single"/>
        </w:rPr>
        <w:t>Limitations</w:t>
      </w:r>
      <w:r>
        <w:rPr>
          <w:b w:val="0"/>
          <w:i w:val="0"/>
          <w:smallCaps w:val="0"/>
          <w:strike w:val="0"/>
          <w:sz w:val="22"/>
          <w:u w:val="single"/>
        </w:rPr>
        <w:t xml:space="preserve"> for and </w:t>
      </w:r>
      <w:r>
        <w:rPr>
          <w:b/>
          <w:i w:val="0"/>
          <w:smallCaps w:val="0"/>
          <w:strike w:val="0"/>
          <w:sz w:val="24"/>
          <w:u w:val="single"/>
        </w:rPr>
        <w:t>barriers</w:t>
      </w:r>
      <w:r>
        <w:rPr>
          <w:b w:val="0"/>
          <w:i w:val="0"/>
          <w:smallCaps w:val="0"/>
          <w:strike w:val="0"/>
          <w:sz w:val="22"/>
          <w:u w:val="single"/>
        </w:rPr>
        <w:t xml:space="preserve"> to the potential of environmental taxes</w:t>
      </w:r>
    </w:p>
    <w:p>
      <w:pPr>
        <w:spacing w:after="60"/>
      </w:pPr>
      <w:r>
        <w:rPr>
          <w:b/>
          <w:i w:val="0"/>
          <w:smallCaps w:val="0"/>
          <w:strike w:val="0"/>
          <w:sz w:val="24"/>
          <w:u w:val="single"/>
        </w:rPr>
        <w:t>Notwithstanding</w:t>
      </w:r>
      <w:r>
        <w:rPr>
          <w:b w:val="0"/>
          <w:i w:val="0"/>
          <w:smallCaps w:val="0"/>
          <w:strike w:val="0"/>
          <w:sz w:val="22"/>
          <w:u w:val="single"/>
        </w:rPr>
        <w:t xml:space="preserve"> the moderately positive conclusions on the potential of environmental taxation for enhancing transitions, we identify </w:t>
      </w:r>
      <w:r>
        <w:rPr>
          <w:b/>
          <w:i w:val="0"/>
          <w:smallCaps w:val="0"/>
          <w:strike w:val="0"/>
          <w:sz w:val="24"/>
          <w:u w:val="single"/>
        </w:rPr>
        <w:t>six</w:t>
      </w:r>
      <w:r>
        <w:rPr>
          <w:b w:val="0"/>
          <w:i w:val="0"/>
          <w:smallCaps w:val="0"/>
          <w:strike w:val="0"/>
          <w:sz w:val="22"/>
          <w:u w:val="single"/>
        </w:rPr>
        <w:t xml:space="preserve"> </w:t>
      </w:r>
      <w:r>
        <w:rPr>
          <w:b w:val="0"/>
          <w:i w:val="0"/>
          <w:smallCaps w:val="0"/>
          <w:strike w:val="0"/>
          <w:sz w:val="22"/>
          <w:highlight w:val="cyan"/>
          <w:u w:val="single"/>
        </w:rPr>
        <w:t>barriers</w:t>
      </w:r>
      <w:r>
        <w:rPr>
          <w:b w:val="0"/>
          <w:i w:val="0"/>
          <w:smallCaps w:val="0"/>
          <w:strike w:val="0"/>
          <w:sz w:val="22"/>
          <w:u w:val="single"/>
        </w:rPr>
        <w:t xml:space="preserve"> and </w:t>
      </w:r>
      <w:r>
        <w:rPr>
          <w:b/>
          <w:i w:val="0"/>
          <w:smallCaps w:val="0"/>
          <w:strike w:val="0"/>
          <w:sz w:val="24"/>
          <w:u w:val="single"/>
        </w:rPr>
        <w:t>limitations</w:t>
      </w:r>
      <w:r>
        <w:rPr>
          <w:b w:val="0"/>
          <w:i w:val="0"/>
          <w:smallCaps w:val="0"/>
          <w:strike w:val="0"/>
          <w:sz w:val="22"/>
          <w:u w:val="single"/>
        </w:rPr>
        <w:t xml:space="preserve"> that </w:t>
      </w:r>
      <w:r>
        <w:rPr>
          <w:b w:val="0"/>
          <w:i w:val="0"/>
          <w:smallCaps w:val="0"/>
          <w:strike w:val="0"/>
          <w:sz w:val="22"/>
          <w:highlight w:val="cyan"/>
          <w:u w:val="single"/>
        </w:rPr>
        <w:t>should not be overlooked. First</w:t>
      </w:r>
      <w:r>
        <w:rPr>
          <w:b w:val="0"/>
          <w:i w:val="0"/>
          <w:smallCaps w:val="0"/>
          <w:strike w:val="0"/>
          <w:sz w:val="22"/>
          <w:u w:val="single"/>
        </w:rPr>
        <w:t xml:space="preserve">, </w:t>
      </w:r>
      <w:r>
        <w:rPr>
          <w:b/>
          <w:i w:val="0"/>
          <w:smallCaps w:val="0"/>
          <w:strike w:val="0"/>
          <w:sz w:val="24"/>
          <w:u w:val="single"/>
        </w:rPr>
        <w:t xml:space="preserve">public and </w:t>
      </w:r>
      <w:r>
        <w:rPr>
          <w:b/>
          <w:i w:val="0"/>
          <w:smallCaps w:val="0"/>
          <w:strike w:val="0"/>
          <w:sz w:val="24"/>
          <w:highlight w:val="cyan"/>
          <w:u w:val="single"/>
        </w:rPr>
        <w:t>political support</w:t>
      </w:r>
      <w:r>
        <w:rPr>
          <w:b w:val="0"/>
          <w:i w:val="0"/>
          <w:smallCaps w:val="0"/>
          <w:strike w:val="0"/>
          <w:sz w:val="22"/>
          <w:highlight w:val="cyan"/>
          <w:u w:val="single"/>
        </w:rPr>
        <w:t xml:space="preserve"> for</w:t>
      </w:r>
      <w:r>
        <w:rPr>
          <w:b w:val="0"/>
          <w:i w:val="0"/>
          <w:smallCaps w:val="0"/>
          <w:strike w:val="0"/>
          <w:sz w:val="22"/>
          <w:u w:val="single"/>
        </w:rPr>
        <w:t xml:space="preserve"> environmental </w:t>
      </w:r>
      <w:r>
        <w:rPr>
          <w:b w:val="0"/>
          <w:i w:val="0"/>
          <w:smallCaps w:val="0"/>
          <w:strike w:val="0"/>
          <w:sz w:val="22"/>
          <w:highlight w:val="cyan"/>
          <w:u w:val="single"/>
        </w:rPr>
        <w:t xml:space="preserve">taxation is </w:t>
      </w:r>
      <w:r>
        <w:rPr>
          <w:b/>
          <w:i w:val="0"/>
          <w:smallCaps w:val="0"/>
          <w:strike w:val="0"/>
          <w:sz w:val="24"/>
          <w:highlight w:val="cyan"/>
          <w:u w:val="single"/>
        </w:rPr>
        <w:t>limited</w:t>
      </w:r>
      <w:r>
        <w:rPr>
          <w:b w:val="0"/>
          <w:i w:val="0"/>
          <w:smallCaps w:val="0"/>
          <w:strike w:val="0"/>
          <w:sz w:val="22"/>
          <w:highlight w:val="cyan"/>
          <w:u w:val="single"/>
        </w:rPr>
        <w:t xml:space="preserve">. People </w:t>
      </w:r>
      <w:r>
        <w:rPr>
          <w:b/>
          <w:i w:val="0"/>
          <w:smallCaps w:val="0"/>
          <w:strike w:val="0"/>
          <w:sz w:val="24"/>
          <w:highlight w:val="cyan"/>
          <w:u w:val="single"/>
        </w:rPr>
        <w:t>dislike</w:t>
      </w:r>
      <w:r>
        <w:rPr>
          <w:b w:val="0"/>
          <w:i w:val="0"/>
          <w:smallCaps w:val="0"/>
          <w:strike w:val="0"/>
          <w:sz w:val="22"/>
          <w:highlight w:val="cyan"/>
          <w:u w:val="single"/>
        </w:rPr>
        <w:t xml:space="preserve"> taxes</w:t>
      </w:r>
      <w:r>
        <w:rPr>
          <w:b w:val="0"/>
          <w:i w:val="0"/>
          <w:smallCaps w:val="0"/>
          <w:strike w:val="0"/>
          <w:sz w:val="22"/>
          <w:u w:val="single"/>
        </w:rPr>
        <w:t xml:space="preserve"> in </w:t>
      </w:r>
      <w:r>
        <w:rPr>
          <w:b/>
          <w:i w:val="0"/>
          <w:smallCaps w:val="0"/>
          <w:strike w:val="0"/>
          <w:sz w:val="24"/>
          <w:u w:val="single"/>
        </w:rPr>
        <w:t>general</w:t>
      </w:r>
      <w:r>
        <w:rPr>
          <w:b w:val="0"/>
          <w:i w:val="0"/>
          <w:smallCaps w:val="0"/>
          <w:strike w:val="0"/>
          <w:sz w:val="16"/>
          <w:u w:val="none"/>
        </w:rPr>
        <w:t xml:space="preserve"> (Avi-</w:t>
      </w:r>
      <w:r>
        <w:rPr>
          <w:b/>
          <w:i w:val="0"/>
          <w:smallCaps w:val="0"/>
          <w:strike w:val="0"/>
          <w:sz w:val="24"/>
          <w:highlight w:val="cyan"/>
          <w:u w:val="single"/>
        </w:rPr>
        <w:t>Yonah</w:t>
      </w:r>
      <w:r>
        <w:rPr>
          <w:b w:val="0"/>
          <w:i w:val="0"/>
          <w:smallCaps w:val="0"/>
          <w:strike w:val="0"/>
          <w:sz w:val="16"/>
          <w:u w:val="none"/>
        </w:rPr>
        <w:t xml:space="preserve"> and Uhlmann 2009), and environmental taxation in particular, </w:t>
      </w:r>
      <w:r>
        <w:rPr>
          <w:b w:val="0"/>
          <w:i w:val="0"/>
          <w:smallCaps w:val="0"/>
          <w:strike w:val="0"/>
          <w:sz w:val="22"/>
          <w:u w:val="single"/>
        </w:rPr>
        <w:t xml:space="preserve">because </w:t>
      </w:r>
      <w:r>
        <w:rPr>
          <w:b w:val="0"/>
          <w:i w:val="0"/>
          <w:smallCaps w:val="0"/>
          <w:strike w:val="0"/>
          <w:sz w:val="22"/>
          <w:highlight w:val="cyan"/>
          <w:u w:val="single"/>
        </w:rPr>
        <w:t>they see it as</w:t>
      </w:r>
      <w:r>
        <w:rPr>
          <w:b w:val="0"/>
          <w:i w:val="0"/>
          <w:smallCaps w:val="0"/>
          <w:strike w:val="0"/>
          <w:sz w:val="22"/>
          <w:u w:val="single"/>
        </w:rPr>
        <w:t xml:space="preserve"> an </w:t>
      </w:r>
      <w:r>
        <w:rPr>
          <w:b/>
          <w:i w:val="0"/>
          <w:smallCaps w:val="0"/>
          <w:strike w:val="0"/>
          <w:sz w:val="24"/>
          <w:highlight w:val="cyan"/>
          <w:u w:val="single"/>
        </w:rPr>
        <w:t>illegit</w:t>
      </w:r>
      <w:r>
        <w:rPr>
          <w:b/>
          <w:i w:val="0"/>
          <w:smallCaps w:val="0"/>
          <w:strike w:val="0"/>
          <w:sz w:val="24"/>
          <w:u w:val="single"/>
        </w:rPr>
        <w:t>imate source</w:t>
      </w:r>
      <w:r>
        <w:rPr>
          <w:b w:val="0"/>
          <w:i w:val="0"/>
          <w:smallCaps w:val="0"/>
          <w:strike w:val="0"/>
          <w:sz w:val="22"/>
          <w:u w:val="single"/>
        </w:rPr>
        <w:t xml:space="preserve"> of </w:t>
      </w:r>
      <w:r>
        <w:rPr>
          <w:b w:val="0"/>
          <w:i w:val="0"/>
          <w:smallCaps w:val="0"/>
          <w:strike w:val="0"/>
          <w:sz w:val="22"/>
          <w:highlight w:val="cyan"/>
          <w:u w:val="single"/>
        </w:rPr>
        <w:t>revenue</w:t>
      </w:r>
      <w:r>
        <w:rPr>
          <w:b w:val="0"/>
          <w:i w:val="0"/>
          <w:smallCaps w:val="0"/>
          <w:strike w:val="0"/>
          <w:sz w:val="22"/>
          <w:u w:val="single"/>
        </w:rPr>
        <w:t xml:space="preserve"> for the government</w:t>
      </w:r>
      <w:r>
        <w:rPr>
          <w:b w:val="0"/>
          <w:i w:val="0"/>
          <w:smallCaps w:val="0"/>
          <w:strike w:val="0"/>
          <w:sz w:val="16"/>
          <w:u w:val="none"/>
        </w:rPr>
        <w:t xml:space="preserve"> (Green Fiscal Commission 2009). One way of making environmental taxation and green tax reform more acceptable is using insights from behavioural economics. For example, to make people accept a budget-neutral tax reform, the value of what they receive should be higher than the value of what they sacrifice. This phenomenon is called the endowment effect (Kahneman, Knetsch, and Thaler 1991). </w:t>
      </w:r>
      <w:r>
        <w:rPr>
          <w:b w:val="0"/>
          <w:i w:val="0"/>
          <w:smallCaps w:val="0"/>
          <w:strike w:val="0"/>
          <w:sz w:val="22"/>
          <w:u w:val="single"/>
        </w:rPr>
        <w:t xml:space="preserve">Second, </w:t>
      </w:r>
      <w:r>
        <w:rPr>
          <w:b/>
          <w:i w:val="0"/>
          <w:smallCaps w:val="0"/>
          <w:strike w:val="0"/>
          <w:sz w:val="24"/>
          <w:highlight w:val="cyan"/>
          <w:u w:val="single"/>
        </w:rPr>
        <w:t>a</w:t>
      </w:r>
      <w:r>
        <w:rPr>
          <w:b w:val="0"/>
          <w:i w:val="0"/>
          <w:smallCaps w:val="0"/>
          <w:strike w:val="0"/>
          <w:sz w:val="22"/>
          <w:u w:val="single"/>
        </w:rPr>
        <w:t xml:space="preserve">n environmental </w:t>
      </w:r>
      <w:r>
        <w:rPr>
          <w:b w:val="0"/>
          <w:i w:val="0"/>
          <w:smallCaps w:val="0"/>
          <w:strike w:val="0"/>
          <w:sz w:val="22"/>
          <w:highlight w:val="cyan"/>
          <w:u w:val="single"/>
        </w:rPr>
        <w:t>tax in</w:t>
      </w:r>
      <w:r>
        <w:rPr>
          <w:b w:val="0"/>
          <w:i w:val="0"/>
          <w:smallCaps w:val="0"/>
          <w:strike w:val="0"/>
          <w:sz w:val="22"/>
          <w:u w:val="single"/>
        </w:rPr>
        <w:t xml:space="preserve"> a socio-technical system such as the </w:t>
      </w:r>
      <w:r>
        <w:rPr>
          <w:b w:val="0"/>
          <w:i w:val="0"/>
          <w:smallCaps w:val="0"/>
          <w:strike w:val="0"/>
          <w:sz w:val="22"/>
          <w:highlight w:val="cyan"/>
          <w:u w:val="single"/>
        </w:rPr>
        <w:t>energy</w:t>
      </w:r>
      <w:r>
        <w:rPr>
          <w:b w:val="0"/>
          <w:i w:val="0"/>
          <w:smallCaps w:val="0"/>
          <w:strike w:val="0"/>
          <w:sz w:val="22"/>
          <w:u w:val="single"/>
        </w:rPr>
        <w:t xml:space="preserve"> system will </w:t>
      </w:r>
      <w:r>
        <w:rPr>
          <w:b w:val="0"/>
          <w:i w:val="0"/>
          <w:smallCaps w:val="0"/>
          <w:strike w:val="0"/>
          <w:sz w:val="22"/>
          <w:highlight w:val="cyan"/>
          <w:u w:val="single"/>
        </w:rPr>
        <w:t>need</w:t>
      </w:r>
      <w:r>
        <w:rPr>
          <w:b w:val="0"/>
          <w:i w:val="0"/>
          <w:smallCaps w:val="0"/>
          <w:strike w:val="0"/>
          <w:sz w:val="22"/>
          <w:u w:val="single"/>
        </w:rPr>
        <w:t xml:space="preserve"> to be implemented for </w:t>
      </w:r>
      <w:r>
        <w:rPr>
          <w:b w:val="0"/>
          <w:i w:val="0"/>
          <w:smallCaps w:val="0"/>
          <w:strike w:val="0"/>
          <w:sz w:val="22"/>
          <w:highlight w:val="cyan"/>
          <w:u w:val="single"/>
        </w:rPr>
        <w:t xml:space="preserve">a </w:t>
      </w:r>
      <w:r>
        <w:rPr>
          <w:b/>
          <w:i w:val="0"/>
          <w:smallCaps w:val="0"/>
          <w:strike w:val="0"/>
          <w:sz w:val="24"/>
          <w:highlight w:val="cyan"/>
          <w:u w:val="single"/>
        </w:rPr>
        <w:t>long period</w:t>
      </w:r>
      <w:r>
        <w:rPr>
          <w:b w:val="0"/>
          <w:i w:val="0"/>
          <w:smallCaps w:val="0"/>
          <w:strike w:val="0"/>
          <w:sz w:val="16"/>
          <w:u w:val="none"/>
        </w:rPr>
        <w:t xml:space="preserve"> (more than 10 years) </w:t>
      </w:r>
      <w:r>
        <w:rPr>
          <w:b w:val="0"/>
          <w:i w:val="0"/>
          <w:smallCaps w:val="0"/>
          <w:strike w:val="0"/>
          <w:sz w:val="22"/>
          <w:u w:val="single"/>
        </w:rPr>
        <w:t xml:space="preserve">before it starts </w:t>
      </w:r>
      <w:r>
        <w:rPr>
          <w:b/>
          <w:i w:val="0"/>
          <w:smallCaps w:val="0"/>
          <w:strike w:val="0"/>
          <w:sz w:val="24"/>
          <w:u w:val="single"/>
        </w:rPr>
        <w:t>living up to its potential</w:t>
      </w:r>
      <w:r>
        <w:rPr>
          <w:b w:val="0"/>
          <w:i w:val="0"/>
          <w:smallCaps w:val="0"/>
          <w:strike w:val="0"/>
          <w:sz w:val="16"/>
          <w:u w:val="none"/>
        </w:rPr>
        <w:t xml:space="preserve">, for both technology and practices. </w:t>
      </w:r>
      <w:r>
        <w:rPr>
          <w:b w:val="0"/>
          <w:i w:val="0"/>
          <w:smallCaps w:val="0"/>
          <w:strike w:val="0"/>
          <w:sz w:val="22"/>
          <w:u w:val="single"/>
        </w:rPr>
        <w:t xml:space="preserve">However, </w:t>
      </w:r>
      <w:r>
        <w:rPr>
          <w:b/>
          <w:i w:val="0"/>
          <w:smallCaps w:val="0"/>
          <w:strike w:val="0"/>
          <w:sz w:val="24"/>
          <w:highlight w:val="cyan"/>
          <w:u w:val="single"/>
        </w:rPr>
        <w:t>politically</w:t>
      </w:r>
      <w:r>
        <w:rPr>
          <w:b w:val="0"/>
          <w:i w:val="0"/>
          <w:smallCaps w:val="0"/>
          <w:strike w:val="0"/>
          <w:sz w:val="22"/>
          <w:u w:val="single"/>
        </w:rPr>
        <w:t xml:space="preserve"> this is a </w:t>
      </w:r>
      <w:r>
        <w:rPr>
          <w:b/>
          <w:i w:val="0"/>
          <w:smallCaps w:val="0"/>
          <w:strike w:val="0"/>
          <w:sz w:val="24"/>
          <w:u w:val="single"/>
        </w:rPr>
        <w:t>long period</w:t>
      </w:r>
      <w:r>
        <w:rPr>
          <w:b w:val="0"/>
          <w:i w:val="0"/>
          <w:smallCaps w:val="0"/>
          <w:strike w:val="0"/>
          <w:sz w:val="22"/>
          <w:u w:val="single"/>
        </w:rPr>
        <w:t xml:space="preserve">, and the environmental tax </w:t>
      </w:r>
      <w:r>
        <w:rPr>
          <w:b w:val="0"/>
          <w:i w:val="0"/>
          <w:smallCaps w:val="0"/>
          <w:strike w:val="0"/>
          <w:sz w:val="22"/>
          <w:highlight w:val="cyan"/>
          <w:u w:val="single"/>
        </w:rPr>
        <w:t>reforms</w:t>
      </w:r>
      <w:r>
        <w:rPr>
          <w:b w:val="0"/>
          <w:i w:val="0"/>
          <w:smallCaps w:val="0"/>
          <w:strike w:val="0"/>
          <w:sz w:val="22"/>
          <w:u w:val="single"/>
        </w:rPr>
        <w:t xml:space="preserve"> that survive the first political decision process, </w:t>
      </w:r>
      <w:r>
        <w:rPr>
          <w:b w:val="0"/>
          <w:i w:val="0"/>
          <w:smallCaps w:val="0"/>
          <w:strike w:val="0"/>
          <w:sz w:val="22"/>
          <w:highlight w:val="cyan"/>
          <w:u w:val="single"/>
        </w:rPr>
        <w:t xml:space="preserve">are often </w:t>
      </w:r>
      <w:r>
        <w:rPr>
          <w:b/>
          <w:i w:val="0"/>
          <w:smallCaps w:val="0"/>
          <w:strike w:val="0"/>
          <w:sz w:val="24"/>
          <w:highlight w:val="cyan"/>
          <w:u w:val="single"/>
        </w:rPr>
        <w:t>reversed</w:t>
      </w:r>
      <w:r>
        <w:rPr>
          <w:b w:val="0"/>
          <w:i w:val="0"/>
          <w:smallCaps w:val="0"/>
          <w:strike w:val="0"/>
          <w:sz w:val="22"/>
          <w:u w:val="single"/>
        </w:rPr>
        <w:t xml:space="preserve"> when a new government takes office. This happened to the </w:t>
      </w:r>
      <w:r>
        <w:rPr>
          <w:b/>
          <w:i w:val="0"/>
          <w:smallCaps w:val="0"/>
          <w:strike w:val="0"/>
          <w:sz w:val="24"/>
          <w:u w:val="single"/>
        </w:rPr>
        <w:t>Australian carbon tax</w:t>
      </w:r>
      <w:r>
        <w:rPr>
          <w:b w:val="0"/>
          <w:i w:val="0"/>
          <w:smallCaps w:val="0"/>
          <w:strike w:val="0"/>
          <w:sz w:val="16"/>
          <w:u w:val="none"/>
        </w:rPr>
        <w:t xml:space="preserve"> in 2013 (Carl and Fedor 2016). A rare counterexample is the Swedish carbon tax, which has been in place since 1991 (Daugbjerg and Svendsen 2003). Third, choices made for or against a certain technology or practice will influence policy options in the future (path dependencies) (Rotmans 2003). Misalignment of a tax with the transition vision could result in a lock-in or even system breakdown (van der Brugge and Rotmans 2007; Kemp and Pontoglio 2011), although a subsidy poses a larger risk of a lock-in than a tax. Fourth, the lack of sufficient, appropriate or promising niches is a barrier, because </w:t>
      </w:r>
      <w:r>
        <w:rPr>
          <w:b w:val="0"/>
          <w:i w:val="0"/>
          <w:smallCaps w:val="0"/>
          <w:strike w:val="0"/>
          <w:sz w:val="22"/>
          <w:highlight w:val="cyan"/>
          <w:u w:val="single"/>
        </w:rPr>
        <w:t>niches</w:t>
      </w:r>
      <w:r>
        <w:rPr>
          <w:b w:val="0"/>
          <w:i w:val="0"/>
          <w:smallCaps w:val="0"/>
          <w:strike w:val="0"/>
          <w:sz w:val="22"/>
          <w:u w:val="single"/>
        </w:rPr>
        <w:t xml:space="preserve"> that do not perform </w:t>
      </w:r>
      <w:r>
        <w:rPr>
          <w:b/>
          <w:i w:val="0"/>
          <w:smallCaps w:val="0"/>
          <w:strike w:val="0"/>
          <w:sz w:val="24"/>
          <w:u w:val="single"/>
        </w:rPr>
        <w:t>consistently</w:t>
      </w:r>
      <w:r>
        <w:rPr>
          <w:b w:val="0"/>
          <w:i w:val="0"/>
          <w:smallCaps w:val="0"/>
          <w:strike w:val="0"/>
          <w:sz w:val="22"/>
          <w:u w:val="single"/>
        </w:rPr>
        <w:t xml:space="preserve"> </w:t>
      </w:r>
      <w:r>
        <w:rPr>
          <w:b w:val="0"/>
          <w:i w:val="0"/>
          <w:smallCaps w:val="0"/>
          <w:strike w:val="0"/>
          <w:sz w:val="22"/>
          <w:highlight w:val="cyan"/>
          <w:u w:val="single"/>
        </w:rPr>
        <w:t xml:space="preserve">will </w:t>
      </w:r>
      <w:r>
        <w:rPr>
          <w:b/>
          <w:i w:val="0"/>
          <w:smallCaps w:val="0"/>
          <w:strike w:val="0"/>
          <w:sz w:val="24"/>
          <w:highlight w:val="cyan"/>
          <w:u w:val="single"/>
        </w:rPr>
        <w:t>not provide</w:t>
      </w:r>
      <w:r>
        <w:rPr>
          <w:b/>
          <w:i w:val="0"/>
          <w:smallCaps w:val="0"/>
          <w:strike w:val="0"/>
          <w:sz w:val="24"/>
          <w:u w:val="single"/>
        </w:rPr>
        <w:t xml:space="preserve"> any </w:t>
      </w:r>
      <w:r>
        <w:rPr>
          <w:b/>
          <w:i w:val="0"/>
          <w:smallCaps w:val="0"/>
          <w:strike w:val="0"/>
          <w:sz w:val="24"/>
          <w:highlight w:val="cyan"/>
          <w:u w:val="single"/>
        </w:rPr>
        <w:t>benefits</w:t>
      </w:r>
      <w:r>
        <w:rPr>
          <w:b w:val="0"/>
          <w:i w:val="0"/>
          <w:smallCaps w:val="0"/>
          <w:strike w:val="0"/>
          <w:sz w:val="16"/>
          <w:u w:val="none"/>
        </w:rPr>
        <w:t xml:space="preserve"> (Sopha, Klöckner, and Hertwich 2013). Fifth, environmental taxes could have some undesired side effects, such as a negative competitiveness impact and a regressive impact. However, those deficiencies can be largely redressed by careful design and compensating measures as part of a green tax reform (Andersen and Ekins 2009; Klenert and Mattauch 2016). Finally, sixth, </w:t>
      </w:r>
      <w:r>
        <w:rPr>
          <w:b w:val="0"/>
          <w:i w:val="0"/>
          <w:smallCaps w:val="0"/>
          <w:strike w:val="0"/>
          <w:sz w:val="22"/>
          <w:highlight w:val="cyan"/>
          <w:u w:val="single"/>
        </w:rPr>
        <w:t xml:space="preserve">a </w:t>
      </w:r>
      <w:r>
        <w:rPr>
          <w:b/>
          <w:i w:val="0"/>
          <w:smallCaps w:val="0"/>
          <w:strike w:val="0"/>
          <w:sz w:val="24"/>
          <w:highlight w:val="cyan"/>
          <w:u w:val="single"/>
        </w:rPr>
        <w:t>stand-alone</w:t>
      </w:r>
      <w:r>
        <w:rPr>
          <w:b w:val="0"/>
          <w:i w:val="0"/>
          <w:smallCaps w:val="0"/>
          <w:strike w:val="0"/>
          <w:sz w:val="22"/>
          <w:u w:val="single"/>
        </w:rPr>
        <w:t xml:space="preserve"> policy </w:t>
      </w:r>
      <w:r>
        <w:rPr>
          <w:b w:val="0"/>
          <w:i w:val="0"/>
          <w:smallCaps w:val="0"/>
          <w:strike w:val="0"/>
          <w:sz w:val="22"/>
          <w:highlight w:val="cyan"/>
          <w:u w:val="single"/>
        </w:rPr>
        <w:t>instrument</w:t>
      </w:r>
      <w:r>
        <w:rPr>
          <w:b w:val="0"/>
          <w:i w:val="0"/>
          <w:smallCaps w:val="0"/>
          <w:strike w:val="0"/>
          <w:sz w:val="22"/>
          <w:u w:val="single"/>
        </w:rPr>
        <w:t xml:space="preserve">, taxation or other, </w:t>
      </w:r>
      <w:r>
        <w:rPr>
          <w:b w:val="0"/>
          <w:i w:val="0"/>
          <w:smallCaps w:val="0"/>
          <w:strike w:val="0"/>
          <w:sz w:val="22"/>
          <w:highlight w:val="cyan"/>
          <w:u w:val="single"/>
        </w:rPr>
        <w:t>will</w:t>
      </w:r>
      <w:r>
        <w:rPr>
          <w:b w:val="0"/>
          <w:i w:val="0"/>
          <w:smallCaps w:val="0"/>
          <w:strike w:val="0"/>
          <w:sz w:val="22"/>
          <w:u w:val="single"/>
        </w:rPr>
        <w:t xml:space="preserve"> always </w:t>
      </w:r>
      <w:r>
        <w:rPr>
          <w:b w:val="0"/>
          <w:i w:val="0"/>
          <w:smallCaps w:val="0"/>
          <w:strike w:val="0"/>
          <w:sz w:val="22"/>
          <w:highlight w:val="cyan"/>
          <w:u w:val="single"/>
        </w:rPr>
        <w:t>have</w:t>
      </w:r>
      <w:r>
        <w:rPr>
          <w:b w:val="0"/>
          <w:i w:val="0"/>
          <w:smallCaps w:val="0"/>
          <w:strike w:val="0"/>
          <w:sz w:val="22"/>
          <w:u w:val="single"/>
        </w:rPr>
        <w:t xml:space="preserve"> a number of </w:t>
      </w:r>
      <w:r>
        <w:rPr>
          <w:b/>
          <w:i w:val="0"/>
          <w:smallCaps w:val="0"/>
          <w:strike w:val="0"/>
          <w:sz w:val="24"/>
          <w:highlight w:val="cyan"/>
          <w:u w:val="single"/>
        </w:rPr>
        <w:t>downsides</w:t>
      </w:r>
      <w:r>
        <w:rPr>
          <w:b w:val="0"/>
          <w:i w:val="0"/>
          <w:smallCaps w:val="0"/>
          <w:strike w:val="0"/>
          <w:sz w:val="22"/>
          <w:u w:val="single"/>
        </w:rPr>
        <w:t xml:space="preserve">, part of which can be </w:t>
      </w:r>
      <w:r>
        <w:rPr>
          <w:b/>
          <w:i w:val="0"/>
          <w:smallCaps w:val="0"/>
          <w:strike w:val="0"/>
          <w:sz w:val="24"/>
          <w:highlight w:val="cyan"/>
          <w:u w:val="single"/>
        </w:rPr>
        <w:t>overcome</w:t>
      </w:r>
      <w:r>
        <w:rPr>
          <w:b w:val="0"/>
          <w:i w:val="0"/>
          <w:smallCaps w:val="0"/>
          <w:strike w:val="0"/>
          <w:sz w:val="22"/>
          <w:highlight w:val="cyan"/>
          <w:u w:val="single"/>
        </w:rPr>
        <w:t xml:space="preserve"> by using</w:t>
      </w:r>
      <w:r>
        <w:rPr>
          <w:b w:val="0"/>
          <w:i w:val="0"/>
          <w:smallCaps w:val="0"/>
          <w:strike w:val="0"/>
          <w:sz w:val="22"/>
          <w:u w:val="single"/>
        </w:rPr>
        <w:t xml:space="preserve"> </w:t>
      </w:r>
      <w:r>
        <w:rPr>
          <w:b/>
          <w:i w:val="0"/>
          <w:smallCaps w:val="0"/>
          <w:strike w:val="0"/>
          <w:sz w:val="24"/>
          <w:u w:val="single"/>
        </w:rPr>
        <w:t>smart instrument</w:t>
      </w:r>
      <w:r>
        <w:rPr>
          <w:b w:val="0"/>
          <w:i w:val="0"/>
          <w:smallCaps w:val="0"/>
          <w:strike w:val="0"/>
          <w:sz w:val="22"/>
          <w:u w:val="single"/>
        </w:rPr>
        <w:t xml:space="preserve"> and </w:t>
      </w:r>
      <w:r>
        <w:rPr>
          <w:b/>
          <w:i w:val="0"/>
          <w:smallCaps w:val="0"/>
          <w:strike w:val="0"/>
          <w:sz w:val="24"/>
          <w:u w:val="single"/>
        </w:rPr>
        <w:t xml:space="preserve">policy </w:t>
      </w:r>
      <w:r>
        <w:rPr>
          <w:b/>
          <w:i w:val="0"/>
          <w:smallCaps w:val="0"/>
          <w:strike w:val="0"/>
          <w:sz w:val="24"/>
          <w:highlight w:val="cyan"/>
          <w:u w:val="single"/>
        </w:rPr>
        <w:t>mixes</w:t>
      </w:r>
      <w:r>
        <w:rPr>
          <w:b w:val="0"/>
          <w:i w:val="0"/>
          <w:smallCaps w:val="0"/>
          <w:strike w:val="0"/>
          <w:sz w:val="16"/>
          <w:u w:val="none"/>
        </w:rPr>
        <w:t xml:space="preserve"> (Oikonomou, Flamos, and Grafakos 2014), such as an environmental tax in combination with a large communication campaign explaining the benefits of the tax to citizens, and with revenue recycling, for example, a subsidy, to increase social support.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