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Empirics</w:t>
      </w:r>
      <w:r>
        <w:rPr>
          <w:b/>
          <w:i w:val="0"/>
          <w:smallCaps w:val="0"/>
          <w:strike w:val="0"/>
          <w:sz w:val="26"/>
          <w:u w:val="none"/>
        </w:rPr>
        <w:t xml:space="preserve"> disprove---‘regulatory taxation’ has been around </w:t>
      </w:r>
      <w:r>
        <w:rPr>
          <w:b/>
          <w:i w:val="0"/>
          <w:smallCaps w:val="0"/>
          <w:strike w:val="0"/>
          <w:sz w:val="26"/>
          <w:u w:val="single"/>
        </w:rPr>
        <w:t>forever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Holderness ’21 </w:t>
      </w:r>
      <w:r>
        <w:rPr>
          <w:b w:val="0"/>
          <w:i w:val="0"/>
          <w:smallCaps w:val="0"/>
          <w:strike w:val="0"/>
          <w:u w:val="none"/>
        </w:rPr>
        <w:t>[Hayes; September 15; Associate Professor at the University of Richmond School of Law; Southern California Law Review, “Crack Taxes and the Dangers of Insidious Regulatory Taxes,” https://papers.ssrn.com/sol3/papers.cfm?abstract_id=3665440]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addition to their revenue-raising role,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taxes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recognized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legit</w:t>
      </w:r>
      <w:r>
        <w:rPr>
          <w:b/>
          <w:i w:val="0"/>
          <w:smallCaps w:val="0"/>
          <w:strike w:val="0"/>
          <w:sz w:val="24"/>
          <w:u w:val="single"/>
        </w:rPr>
        <w:t>imate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powerful tools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regulate behavior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One might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courts to heighten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scrutiny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taxes with intentional regulatory goals (as opposed to mere revenue-raising taxes) to ensure that the interests of regulated individuals are appropriately considered.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However, this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rare</w:t>
      </w:r>
      <w:r>
        <w:rPr>
          <w:b/>
          <w:i w:val="0"/>
          <w:smallCaps w:val="0"/>
          <w:strike w:val="0"/>
          <w:sz w:val="24"/>
          <w:u w:val="single"/>
        </w:rPr>
        <w:t>ly</w:t>
      </w:r>
      <w:r>
        <w:rPr>
          <w:b/>
          <w:i w:val="0"/>
          <w:smallCaps w:val="0"/>
          <w:strike w:val="0"/>
          <w:sz w:val="24"/>
          <w:u w:val="single"/>
        </w:rPr>
        <w:t xml:space="preserve"> the case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taxes’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revenue goals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insignificant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compared to their </w:t>
      </w:r>
      <w:r>
        <w:rPr>
          <w:b/>
          <w:i w:val="0"/>
          <w:smallCaps w:val="0"/>
          <w:strike w:val="0"/>
          <w:sz w:val="24"/>
          <w:u w:val="single"/>
        </w:rPr>
        <w:t>regulatory goals</w:t>
      </w:r>
      <w:r>
        <w:rPr>
          <w:b w:val="0"/>
          <w:i w:val="0"/>
          <w:smallCaps w:val="0"/>
          <w:strike w:val="0"/>
          <w:sz w:val="16"/>
          <w:u w:val="none"/>
        </w:rPr>
        <w:t>.10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