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court will side with states.</w:t>
      </w:r>
    </w:p>
    <w:p>
      <w:pPr>
        <w:spacing w:after="80"/>
      </w:pPr>
      <w:r>
        <w:rPr>
          <w:b/>
          <w:i w:val="0"/>
          <w:smallCaps w:val="0"/>
          <w:strike w:val="0"/>
          <w:sz w:val="26"/>
          <w:u w:val="none"/>
        </w:rPr>
        <w:t xml:space="preserve">Pozen ‘9 </w:t>
      </w:r>
      <w:r>
        <w:rPr>
          <w:b w:val="0"/>
          <w:i w:val="0"/>
          <w:smallCaps w:val="0"/>
          <w:strike w:val="0"/>
          <w:u w:val="none"/>
        </w:rPr>
        <w:t>[Jessica</w:t>
      </w:r>
      <w:r>
        <w:rPr>
          <w:b w:val="0"/>
          <w:i w:val="0"/>
          <w:smallCaps w:val="0"/>
          <w:strike w:val="0"/>
          <w:u w:val="none"/>
        </w:rPr>
        <w:t xml:space="preserve"> Bulman</w:t>
      </w:r>
      <w:r>
        <w:rPr>
          <w:b w:val="0"/>
          <w:i w:val="0"/>
          <w:smallCaps w:val="0"/>
          <w:strike w:val="0"/>
          <w:u w:val="none"/>
        </w:rPr>
        <w:t xml:space="preserve"> and Heather Gerken; 2009; Professor of Law at Columbia University, J.D. from Yale Law School; Professor of Law at Yale University, J.D. from the University of Michigan, A.B. from Princeton University; The Yale Law Journal, “Uncooperative Federalism,” vol. 118]</w:t>
      </w:r>
    </w:p>
    <w:p>
      <w:pPr>
        <w:spacing w:after="60"/>
      </w:pPr>
      <w:r>
        <w:rPr>
          <w:b w:val="0"/>
          <w:i w:val="0"/>
          <w:smallCaps w:val="0"/>
          <w:strike w:val="0"/>
          <w:sz w:val="16"/>
          <w:u w:val="none"/>
        </w:rPr>
        <w:t xml:space="preserve">In 2001, pursuant to the CSA, Attorney General John Ashcroft promulgated an Interpretive Rule that would have prohibited doctors from prescribing regulated drugs for use in physician-assisted suicide, despite an Oregon law that permits the practice. In Gonzales v. Oregon, </w:t>
      </w:r>
      <w:r>
        <w:rPr>
          <w:b w:val="0"/>
          <w:i w:val="0"/>
          <w:smallCaps w:val="0"/>
          <w:strike w:val="0"/>
          <w:sz w:val="22"/>
          <w:highlight w:val="cyan"/>
          <w:u w:val="single"/>
        </w:rPr>
        <w:t>the</w:t>
      </w:r>
      <w:r>
        <w:rPr>
          <w:b w:val="0"/>
          <w:i w:val="0"/>
          <w:smallCaps w:val="0"/>
          <w:strike w:val="0"/>
          <w:sz w:val="22"/>
          <w:u w:val="single"/>
        </w:rPr>
        <w:t xml:space="preserve"> </w:t>
      </w:r>
      <w:r>
        <w:rPr>
          <w:b/>
          <w:i w:val="0"/>
          <w:smallCaps w:val="0"/>
          <w:strike w:val="0"/>
          <w:sz w:val="24"/>
          <w:u w:val="single"/>
        </w:rPr>
        <w:t>S</w:t>
      </w:r>
      <w:r>
        <w:rPr>
          <w:b w:val="0"/>
          <w:i w:val="0"/>
          <w:smallCaps w:val="0"/>
          <w:strike w:val="0"/>
          <w:sz w:val="22"/>
          <w:u w:val="single"/>
        </w:rPr>
        <w:t xml:space="preserve">upreme </w:t>
      </w:r>
      <w:r>
        <w:rPr>
          <w:b/>
          <w:i w:val="0"/>
          <w:smallCaps w:val="0"/>
          <w:strike w:val="0"/>
          <w:sz w:val="24"/>
          <w:highlight w:val="cyan"/>
          <w:u w:val="single"/>
        </w:rPr>
        <w:t>C</w:t>
      </w:r>
      <w:r>
        <w:rPr>
          <w:b w:val="0"/>
          <w:i w:val="0"/>
          <w:smallCaps w:val="0"/>
          <w:strike w:val="0"/>
          <w:sz w:val="22"/>
          <w:highlight w:val="cyan"/>
          <w:u w:val="single"/>
        </w:rPr>
        <w:t xml:space="preserve">ourt </w:t>
      </w:r>
      <w:r>
        <w:rPr>
          <w:b/>
          <w:i w:val="0"/>
          <w:smallCaps w:val="0"/>
          <w:strike w:val="0"/>
          <w:sz w:val="24"/>
          <w:highlight w:val="cyan"/>
          <w:u w:val="single"/>
        </w:rPr>
        <w:t>sustained</w:t>
      </w:r>
      <w:r>
        <w:rPr>
          <w:b w:val="0"/>
          <w:i w:val="0"/>
          <w:smallCaps w:val="0"/>
          <w:strike w:val="0"/>
          <w:sz w:val="22"/>
          <w:highlight w:val="cyan"/>
          <w:u w:val="single"/>
        </w:rPr>
        <w:t xml:space="preserve"> a challenge to the</w:t>
      </w:r>
      <w:r>
        <w:rPr>
          <w:b w:val="0"/>
          <w:i w:val="0"/>
          <w:smallCaps w:val="0"/>
          <w:strike w:val="0"/>
          <w:sz w:val="22"/>
          <w:u w:val="single"/>
        </w:rPr>
        <w:t xml:space="preserve"> Interpretive </w:t>
      </w:r>
      <w:r>
        <w:rPr>
          <w:b w:val="0"/>
          <w:i w:val="0"/>
          <w:smallCaps w:val="0"/>
          <w:strike w:val="0"/>
          <w:sz w:val="22"/>
          <w:highlight w:val="cyan"/>
          <w:u w:val="single"/>
        </w:rPr>
        <w:t>Rule</w:t>
      </w:r>
      <w:r>
        <w:rPr>
          <w:b w:val="0"/>
          <w:i w:val="0"/>
          <w:smallCaps w:val="0"/>
          <w:strike w:val="0"/>
          <w:sz w:val="22"/>
          <w:u w:val="single"/>
        </w:rPr>
        <w:t xml:space="preserve">, in part because </w:t>
      </w:r>
      <w:r>
        <w:rPr>
          <w:b w:val="0"/>
          <w:i w:val="0"/>
          <w:smallCaps w:val="0"/>
          <w:strike w:val="0"/>
          <w:sz w:val="22"/>
          <w:highlight w:val="cyan"/>
          <w:u w:val="single"/>
        </w:rPr>
        <w:t xml:space="preserve">it </w:t>
      </w:r>
      <w:r>
        <w:rPr>
          <w:b/>
          <w:i w:val="0"/>
          <w:smallCaps w:val="0"/>
          <w:strike w:val="0"/>
          <w:sz w:val="24"/>
          <w:highlight w:val="cyan"/>
          <w:u w:val="single"/>
        </w:rPr>
        <w:t>trampled</w:t>
      </w:r>
      <w:r>
        <w:rPr>
          <w:b w:val="0"/>
          <w:i w:val="0"/>
          <w:smallCaps w:val="0"/>
          <w:strike w:val="0"/>
          <w:sz w:val="22"/>
          <w:highlight w:val="cyan"/>
          <w:u w:val="single"/>
        </w:rPr>
        <w:t xml:space="preserve"> on </w:t>
      </w:r>
      <w:r>
        <w:rPr>
          <w:b/>
          <w:i w:val="0"/>
          <w:smallCaps w:val="0"/>
          <w:strike w:val="0"/>
          <w:sz w:val="24"/>
          <w:highlight w:val="cyan"/>
          <w:u w:val="single"/>
        </w:rPr>
        <w:t>state power</w:t>
      </w:r>
      <w:r>
        <w:rPr>
          <w:b w:val="0"/>
          <w:i w:val="0"/>
          <w:smallCaps w:val="0"/>
          <w:strike w:val="0"/>
          <w:sz w:val="16"/>
          <w:u w:val="none"/>
        </w:rPr>
        <w:t xml:space="preserve">. 66 </w:t>
      </w:r>
      <w:r>
        <w:rPr>
          <w:b w:val="0"/>
          <w:i w:val="0"/>
          <w:smallCaps w:val="0"/>
          <w:strike w:val="0"/>
          <w:sz w:val="22"/>
          <w:highlight w:val="cyan"/>
          <w:u w:val="single"/>
        </w:rPr>
        <w:t>The Court spoke</w:t>
      </w:r>
      <w:r>
        <w:rPr>
          <w:b w:val="0"/>
          <w:i w:val="0"/>
          <w:smallCaps w:val="0"/>
          <w:strike w:val="0"/>
          <w:sz w:val="16"/>
          <w:u w:val="none"/>
        </w:rPr>
        <w:t xml:space="preserve"> the language of </w:t>
      </w:r>
      <w:r>
        <w:rPr>
          <w:b/>
          <w:i w:val="0"/>
          <w:smallCaps w:val="0"/>
          <w:strike w:val="0"/>
          <w:sz w:val="24"/>
          <w:highlight w:val="cyan"/>
          <w:u w:val="single"/>
        </w:rPr>
        <w:t>dual sovereignty</w:t>
      </w:r>
      <w:r>
        <w:rPr>
          <w:b w:val="0"/>
          <w:i w:val="0"/>
          <w:smallCaps w:val="0"/>
          <w:strike w:val="0"/>
          <w:sz w:val="22"/>
          <w:highlight w:val="cyan"/>
          <w:u w:val="single"/>
        </w:rPr>
        <w:t>, noting</w:t>
      </w:r>
      <w:r>
        <w:rPr>
          <w:b w:val="0"/>
          <w:i w:val="0"/>
          <w:smallCaps w:val="0"/>
          <w:strike w:val="0"/>
          <w:sz w:val="22"/>
          <w:u w:val="single"/>
        </w:rPr>
        <w:t xml:space="preserve"> that "the structure</w:t>
      </w:r>
      <w:r>
        <w:rPr>
          <w:b w:val="0"/>
          <w:i w:val="0"/>
          <w:smallCaps w:val="0"/>
          <w:strike w:val="0"/>
          <w:sz w:val="16"/>
          <w:u w:val="none"/>
        </w:rPr>
        <w:t xml:space="preserve"> and limitations </w:t>
      </w:r>
      <w:r>
        <w:rPr>
          <w:b w:val="0"/>
          <w:i w:val="0"/>
          <w:smallCaps w:val="0"/>
          <w:strike w:val="0"/>
          <w:sz w:val="22"/>
          <w:u w:val="single"/>
        </w:rPr>
        <w:t xml:space="preserve">of </w:t>
      </w:r>
      <w:r>
        <w:rPr>
          <w:b w:val="0"/>
          <w:i w:val="0"/>
          <w:smallCaps w:val="0"/>
          <w:strike w:val="0"/>
          <w:sz w:val="22"/>
          <w:highlight w:val="cyan"/>
          <w:u w:val="single"/>
        </w:rPr>
        <w:t>federalism"</w:t>
      </w:r>
      <w:r>
        <w:rPr>
          <w:b w:val="0"/>
          <w:i w:val="0"/>
          <w:smallCaps w:val="0"/>
          <w:strike w:val="0"/>
          <w:sz w:val="22"/>
          <w:u w:val="single"/>
        </w:rPr>
        <w:t xml:space="preserve"> allow the </w:t>
      </w:r>
      <w:r>
        <w:rPr>
          <w:b w:val="0"/>
          <w:i w:val="0"/>
          <w:smallCaps w:val="0"/>
          <w:strike w:val="0"/>
          <w:sz w:val="22"/>
          <w:highlight w:val="cyan"/>
          <w:u w:val="single"/>
        </w:rPr>
        <w:t>states</w:t>
      </w:r>
      <w:r>
        <w:rPr>
          <w:b w:val="0"/>
          <w:i w:val="0"/>
          <w:smallCaps w:val="0"/>
          <w:strike w:val="0"/>
          <w:sz w:val="22"/>
          <w:u w:val="single"/>
        </w:rPr>
        <w:t xml:space="preserve"> "'</w:t>
      </w:r>
      <w:r>
        <w:rPr>
          <w:b/>
          <w:i w:val="0"/>
          <w:smallCaps w:val="0"/>
          <w:strike w:val="0"/>
          <w:sz w:val="24"/>
          <w:u w:val="single"/>
        </w:rPr>
        <w:t xml:space="preserve">great </w:t>
      </w:r>
      <w:r>
        <w:rPr>
          <w:b/>
          <w:i w:val="0"/>
          <w:smallCaps w:val="0"/>
          <w:strike w:val="0"/>
          <w:sz w:val="24"/>
          <w:highlight w:val="cyan"/>
          <w:u w:val="single"/>
        </w:rPr>
        <w:t>latitude</w:t>
      </w:r>
      <w:r>
        <w:rPr>
          <w:b w:val="0"/>
          <w:i w:val="0"/>
          <w:smallCaps w:val="0"/>
          <w:strike w:val="0"/>
          <w:sz w:val="22"/>
          <w:u w:val="single"/>
        </w:rPr>
        <w:t xml:space="preserve"> under their police powers"'</w:t>
      </w:r>
      <w:r>
        <w:rPr>
          <w:b w:val="0"/>
          <w:i w:val="0"/>
          <w:smallCaps w:val="0"/>
          <w:strike w:val="0"/>
          <w:sz w:val="16"/>
          <w:u w:val="none"/>
        </w:rPr>
        <w:t xml:space="preserve"> and that, respecting this, the CSA "manifests no intent to regulate the practice of medicine generally."' 6' But while the Court spoke in the cadence of sovereignty, the logic of its decision turned on the level of integration between state and federal enforcement. As the Court stated, "The structure and operation of the CSA presume and rely upon a functioning medical profession regulated under the States' police powers."' ' 68 </w:t>
      </w:r>
      <w:r>
        <w:rPr>
          <w:b w:val="0"/>
          <w:i w:val="0"/>
          <w:smallCaps w:val="0"/>
          <w:strike w:val="0"/>
          <w:sz w:val="22"/>
          <w:u w:val="single"/>
        </w:rPr>
        <w:t xml:space="preserve">Because of this reliance, the </w:t>
      </w:r>
      <w:r>
        <w:rPr>
          <w:b w:val="0"/>
          <w:i w:val="0"/>
          <w:smallCaps w:val="0"/>
          <w:strike w:val="0"/>
          <w:sz w:val="22"/>
          <w:highlight w:val="cyan"/>
          <w:u w:val="single"/>
        </w:rPr>
        <w:t xml:space="preserve">states were </w:t>
      </w:r>
      <w:r>
        <w:rPr>
          <w:b/>
          <w:i w:val="0"/>
          <w:smallCaps w:val="0"/>
          <w:strike w:val="0"/>
          <w:sz w:val="24"/>
          <w:highlight w:val="cyan"/>
          <w:u w:val="single"/>
        </w:rPr>
        <w:t>permitted</w:t>
      </w:r>
      <w:r>
        <w:rPr>
          <w:b w:val="0"/>
          <w:i w:val="0"/>
          <w:smallCaps w:val="0"/>
          <w:strike w:val="0"/>
          <w:sz w:val="22"/>
          <w:u w:val="single"/>
        </w:rPr>
        <w:t xml:space="preserve"> to regulate </w:t>
      </w:r>
      <w:r>
        <w:rPr>
          <w:b/>
          <w:i w:val="0"/>
          <w:smallCaps w:val="0"/>
          <w:strike w:val="0"/>
          <w:sz w:val="24"/>
          <w:highlight w:val="cyan"/>
          <w:u w:val="single"/>
        </w:rPr>
        <w:t>despite</w:t>
      </w:r>
      <w:r>
        <w:rPr>
          <w:b w:val="0"/>
          <w:i w:val="0"/>
          <w:smallCaps w:val="0"/>
          <w:strike w:val="0"/>
          <w:sz w:val="22"/>
          <w:u w:val="single"/>
        </w:rPr>
        <w:t xml:space="preserve"> a comprehensive </w:t>
      </w:r>
      <w:r>
        <w:rPr>
          <w:b/>
          <w:i w:val="0"/>
          <w:smallCaps w:val="0"/>
          <w:strike w:val="0"/>
          <w:sz w:val="24"/>
          <w:highlight w:val="cyan"/>
          <w:u w:val="single"/>
        </w:rPr>
        <w:t>federal</w:t>
      </w:r>
      <w:r>
        <w:rPr>
          <w:b w:val="0"/>
          <w:i w:val="0"/>
          <w:smallCaps w:val="0"/>
          <w:strike w:val="0"/>
          <w:sz w:val="22"/>
          <w:highlight w:val="cyan"/>
          <w:u w:val="single"/>
        </w:rPr>
        <w:t xml:space="preserve"> law</w:t>
      </w:r>
      <w:r>
        <w:rPr>
          <w:b w:val="0"/>
          <w:i w:val="0"/>
          <w:smallCaps w:val="0"/>
          <w:strike w:val="0"/>
          <w:sz w:val="16"/>
          <w:u w:val="none"/>
        </w:rPr>
        <w:t>.</w:t>
      </w:r>
    </w:p>
    <w:p>
      <w:pPr>
        <w:pStyle w:val="Caption"/>
      </w:pPr>
      <w:r>
        <w:t>Source: Balance Updates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