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</w:t>
      </w:r>
      <w:r>
        <w:rPr>
          <w:b/>
          <w:i w:val="0"/>
          <w:smallCaps w:val="0"/>
          <w:strike w:val="0"/>
          <w:sz w:val="26"/>
          <w:u w:val="single"/>
        </w:rPr>
        <w:t>combination</w:t>
      </w:r>
      <w:r>
        <w:rPr>
          <w:b/>
          <w:i w:val="0"/>
          <w:smallCaps w:val="0"/>
          <w:strike w:val="0"/>
          <w:sz w:val="26"/>
          <w:u w:val="none"/>
        </w:rPr>
        <w:t xml:space="preserve"> creates confusion that </w:t>
      </w:r>
      <w:r>
        <w:rPr>
          <w:b/>
          <w:i w:val="0"/>
          <w:smallCaps w:val="0"/>
          <w:strike w:val="0"/>
          <w:sz w:val="26"/>
          <w:u w:val="single"/>
        </w:rPr>
        <w:t>nukes solvency</w:t>
      </w:r>
      <w:r>
        <w:rPr>
          <w:b/>
          <w:i w:val="0"/>
          <w:smallCaps w:val="0"/>
          <w:strike w:val="0"/>
          <w:sz w:val="26"/>
          <w:u w:val="none"/>
        </w:rPr>
        <w:t xml:space="preserve"> AND effectiveness of </w:t>
      </w:r>
      <w:r>
        <w:rPr>
          <w:b/>
          <w:i w:val="0"/>
          <w:smallCaps w:val="0"/>
          <w:strike w:val="0"/>
          <w:sz w:val="26"/>
          <w:u w:val="single"/>
        </w:rPr>
        <w:t>later</w:t>
      </w:r>
      <w:r>
        <w:rPr>
          <w:b/>
          <w:i w:val="0"/>
          <w:smallCaps w:val="0"/>
          <w:strike w:val="0"/>
          <w:sz w:val="26"/>
          <w:u w:val="none"/>
        </w:rPr>
        <w:t xml:space="preserve"> tax application.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Tickell ’11 </w:t>
      </w:r>
      <w:r>
        <w:rPr>
          <w:b w:val="0"/>
          <w:i w:val="0"/>
          <w:smallCaps w:val="0"/>
          <w:strike w:val="0"/>
          <w:u w:val="none"/>
        </w:rPr>
        <w:t>[Oliver; 2011; Editor of The Ecologist, Campaigner on Health and Environment Issues; Kyoto 2: How to Manage the Global Greenhouse, Google Books]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complex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mix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taxes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levies,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obligations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subsidies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sends out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confused signals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creates </w:t>
      </w:r>
      <w:r>
        <w:rPr>
          <w:b/>
          <w:i w:val="0"/>
          <w:smallCaps w:val="0"/>
          <w:strike w:val="0"/>
          <w:sz w:val="24"/>
          <w:u w:val="single"/>
        </w:rPr>
        <w:t>unintended interactions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opportunities 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double</w:t>
      </w:r>
      <w:r>
        <w:rPr>
          <w:b/>
          <w:i w:val="0"/>
          <w:smallCaps w:val="0"/>
          <w:strike w:val="0"/>
          <w:sz w:val="24"/>
          <w:u w:val="single"/>
        </w:rPr>
        <w:t xml:space="preserve"> or treble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counting</w:t>
      </w:r>
      <w:r>
        <w:rPr>
          <w:b w:val="0"/>
          <w:i w:val="0"/>
          <w:smallCaps w:val="0"/>
          <w:strike w:val="0"/>
          <w:sz w:val="16"/>
          <w:u w:val="none"/>
        </w:rPr>
        <w:t>. In particular no consistent ‘carbon price’ emerges, and the carbon prices reflected by these different mechanisms cover a wide range, between £216/tC02 for fuel duty (on the admittedly unsustainable assumption that 100 per cent of the fuel duty reflects climate change costs) and around £100/tCO2 for the Renewables Obligation, down to -£50/tCO2 (that is, a £50 ‘carbon subsidy’) through the reduced rate of VAT on domestic fuel and electricity.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As Steven Sorrell and Jos Slim comment,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complex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elaborate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interdependent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mix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climate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developed in the UK provides a particularly rich example of the challenges to be faced. [...]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net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result may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mix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overlapping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interacting,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conflicting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instruments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which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overall coherence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 short,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policy mix may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easily become a policy mess</w:t>
      </w:r>
      <w:r>
        <w:rPr>
          <w:b w:val="0"/>
          <w:i w:val="0"/>
          <w:smallCaps w:val="0"/>
          <w:strike w:val="0"/>
          <w:sz w:val="16"/>
          <w:u w:val="none"/>
        </w:rPr>
        <w:t>.70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